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107"/>
        <w:tblOverlap w:val="never"/>
        <w:tblW w:w="10598" w:type="dxa"/>
        <w:tblLayout w:type="fixed"/>
        <w:tblLook w:val="01E0" w:firstRow="1" w:lastRow="1" w:firstColumn="1" w:lastColumn="1" w:noHBand="0" w:noVBand="0"/>
      </w:tblPr>
      <w:tblGrid>
        <w:gridCol w:w="3085"/>
        <w:gridCol w:w="3074"/>
        <w:gridCol w:w="4439"/>
      </w:tblGrid>
      <w:tr w:rsidR="007103FF" w:rsidRPr="00266B2E" w:rsidTr="007103FF">
        <w:trPr>
          <w:trHeight w:val="1276"/>
        </w:trPr>
        <w:tc>
          <w:tcPr>
            <w:tcW w:w="3085" w:type="dxa"/>
            <w:shd w:val="clear" w:color="auto" w:fill="auto"/>
          </w:tcPr>
          <w:p w:rsidR="007103FF" w:rsidRPr="00266B2E" w:rsidRDefault="002C3403" w:rsidP="002C3403">
            <w:pPr>
              <w:spacing w:before="240"/>
              <w:jc w:val="center"/>
              <w:rPr>
                <w:rFonts w:cs="Arial"/>
                <w:szCs w:val="22"/>
                <w:lang w:bidi="hi-IN"/>
              </w:rPr>
            </w:pPr>
            <w:r w:rsidRPr="002C3403">
              <w:rPr>
                <w:rFonts w:cs="Arial"/>
                <w:szCs w:val="22"/>
                <w:lang w:bidi="hi-IN"/>
              </w:rPr>
              <w:t>Brighton and Sussex University Hospitals NHS Trust</w:t>
            </w:r>
          </w:p>
        </w:tc>
        <w:tc>
          <w:tcPr>
            <w:tcW w:w="3074" w:type="dxa"/>
            <w:shd w:val="clear" w:color="auto" w:fill="auto"/>
          </w:tcPr>
          <w:p w:rsidR="007103FF" w:rsidRPr="00E43A1F" w:rsidRDefault="007103FF" w:rsidP="007103FF">
            <w:pPr>
              <w:spacing w:before="120"/>
              <w:jc w:val="center"/>
              <w:rPr>
                <w:rFonts w:cs="Arial"/>
                <w:b/>
                <w:sz w:val="24"/>
                <w:lang w:bidi="hi-IN"/>
              </w:rPr>
            </w:pPr>
            <w:r w:rsidRPr="00E43A1F">
              <w:rPr>
                <w:rFonts w:cs="Arial"/>
                <w:b/>
                <w:sz w:val="24"/>
                <w:lang w:bidi="hi-IN"/>
              </w:rPr>
              <w:t>WORKING IN PARTNERSHIP WITH</w:t>
            </w:r>
          </w:p>
        </w:tc>
        <w:tc>
          <w:tcPr>
            <w:tcW w:w="4439" w:type="dxa"/>
            <w:shd w:val="clear" w:color="auto" w:fill="auto"/>
          </w:tcPr>
          <w:p w:rsidR="007103FF" w:rsidRPr="00E43A1F" w:rsidRDefault="007103FF" w:rsidP="007103FF">
            <w:pPr>
              <w:jc w:val="right"/>
              <w:rPr>
                <w:rFonts w:eastAsia="Calibri" w:cs="Arial"/>
                <w:sz w:val="16"/>
                <w:szCs w:val="16"/>
              </w:rPr>
            </w:pPr>
          </w:p>
          <w:p w:rsidR="007103FF" w:rsidRPr="00E43A1F" w:rsidRDefault="007103FF" w:rsidP="007103FF">
            <w:pPr>
              <w:jc w:val="right"/>
              <w:rPr>
                <w:rFonts w:eastAsia="Calibri" w:cs="Arial"/>
                <w:sz w:val="16"/>
                <w:szCs w:val="16"/>
              </w:rPr>
            </w:pPr>
          </w:p>
          <w:p w:rsidR="007103FF" w:rsidRPr="00E43A1F" w:rsidRDefault="007103FF" w:rsidP="007103FF">
            <w:pPr>
              <w:jc w:val="right"/>
              <w:rPr>
                <w:rFonts w:eastAsia="Calibri" w:cs="Arial"/>
                <w:sz w:val="16"/>
                <w:szCs w:val="16"/>
              </w:rPr>
            </w:pPr>
            <w:r>
              <w:rPr>
                <w:noProof/>
                <w:lang w:eastAsia="en-GB"/>
              </w:rPr>
              <w:drawing>
                <wp:anchor distT="0" distB="0" distL="114300" distR="114300" simplePos="0" relativeHeight="251659264" behindDoc="0" locked="0" layoutInCell="1" allowOverlap="1" wp14:anchorId="3ED9E118" wp14:editId="479D3660">
                  <wp:simplePos x="0" y="0"/>
                  <wp:positionH relativeFrom="margin">
                    <wp:posOffset>2122170</wp:posOffset>
                  </wp:positionH>
                  <wp:positionV relativeFrom="margin">
                    <wp:posOffset>0</wp:posOffset>
                  </wp:positionV>
                  <wp:extent cx="561340" cy="227330"/>
                  <wp:effectExtent l="0" t="0" r="0" b="1270"/>
                  <wp:wrapSquare wrapText="bothSides"/>
                  <wp:docPr id="1" name="Picture 1" descr="\\sussex.nhs.uk\rdf\09d\tomesj\Downloads\NH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sex.nhs.uk\rdf\09d\tomesj\Downloads\NHS-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340" cy="227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3A1F">
              <w:rPr>
                <w:rFonts w:eastAsia="Calibri" w:cs="Arial"/>
                <w:sz w:val="16"/>
                <w:szCs w:val="16"/>
              </w:rPr>
              <w:t>Brighton and Hove Clinical Commissioning Group</w:t>
            </w:r>
          </w:p>
          <w:p w:rsidR="007103FF" w:rsidRPr="00E43A1F" w:rsidRDefault="007103FF" w:rsidP="007103FF">
            <w:pPr>
              <w:jc w:val="right"/>
              <w:rPr>
                <w:rFonts w:eastAsia="Calibri" w:cs="Arial"/>
                <w:sz w:val="16"/>
                <w:szCs w:val="16"/>
              </w:rPr>
            </w:pPr>
            <w:r w:rsidRPr="00E43A1F">
              <w:rPr>
                <w:rFonts w:eastAsia="Calibri" w:cs="Arial"/>
                <w:sz w:val="16"/>
                <w:szCs w:val="16"/>
              </w:rPr>
              <w:t>Crawley Clinical Commissioning Group</w:t>
            </w:r>
          </w:p>
          <w:p w:rsidR="007103FF" w:rsidRDefault="007103FF" w:rsidP="007103FF">
            <w:pPr>
              <w:jc w:val="right"/>
              <w:rPr>
                <w:rFonts w:eastAsia="Calibri" w:cs="Arial"/>
                <w:sz w:val="16"/>
                <w:szCs w:val="16"/>
              </w:rPr>
            </w:pPr>
            <w:r w:rsidRPr="00E43A1F">
              <w:rPr>
                <w:rFonts w:eastAsia="Calibri" w:cs="Arial"/>
                <w:sz w:val="16"/>
                <w:szCs w:val="16"/>
              </w:rPr>
              <w:t>Horsham and Mid Sussex Clinical Commissioning Group</w:t>
            </w:r>
          </w:p>
          <w:p w:rsidR="007103FF" w:rsidRPr="00EB1CD3" w:rsidRDefault="007103FF" w:rsidP="007103FF">
            <w:pPr>
              <w:jc w:val="right"/>
              <w:rPr>
                <w:rFonts w:eastAsia="Calibri" w:cs="Arial"/>
                <w:sz w:val="16"/>
                <w:szCs w:val="16"/>
              </w:rPr>
            </w:pPr>
            <w:r>
              <w:rPr>
                <w:rFonts w:eastAsia="Calibri" w:cs="Arial"/>
                <w:sz w:val="16"/>
                <w:szCs w:val="16"/>
              </w:rPr>
              <w:t>High Weald Lewes Haven</w:t>
            </w:r>
            <w:r w:rsidR="00CC30D7">
              <w:rPr>
                <w:rFonts w:eastAsia="Calibri" w:cs="Arial"/>
                <w:sz w:val="16"/>
                <w:szCs w:val="16"/>
              </w:rPr>
              <w:t>s</w:t>
            </w:r>
            <w:r>
              <w:rPr>
                <w:rFonts w:eastAsia="Calibri" w:cs="Arial"/>
                <w:sz w:val="16"/>
                <w:szCs w:val="16"/>
              </w:rPr>
              <w:t xml:space="preserve"> Clinical Commissioning Group</w:t>
            </w:r>
          </w:p>
        </w:tc>
      </w:tr>
    </w:tbl>
    <w:p w:rsidR="00645256" w:rsidRDefault="00645256" w:rsidP="00645256">
      <w:pPr>
        <w:spacing w:before="120"/>
        <w:jc w:val="center"/>
        <w:rPr>
          <w:b/>
          <w:szCs w:val="22"/>
        </w:rPr>
      </w:pPr>
      <w:r>
        <w:rPr>
          <w:noProof/>
          <w:lang w:eastAsia="en-GB"/>
        </w:rPr>
        <mc:AlternateContent>
          <mc:Choice Requires="wps">
            <w:drawing>
              <wp:anchor distT="0" distB="0" distL="114300" distR="114300" simplePos="0" relativeHeight="251663360" behindDoc="0" locked="0" layoutInCell="1" allowOverlap="1" wp14:anchorId="1768597D" wp14:editId="193DCF6D">
                <wp:simplePos x="0" y="0"/>
                <wp:positionH relativeFrom="margin">
                  <wp:posOffset>-441960</wp:posOffset>
                </wp:positionH>
                <wp:positionV relativeFrom="margin">
                  <wp:posOffset>121920</wp:posOffset>
                </wp:positionV>
                <wp:extent cx="6758940" cy="1120140"/>
                <wp:effectExtent l="0" t="0" r="22860"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1120140"/>
                        </a:xfrm>
                        <a:prstGeom prst="rect">
                          <a:avLst/>
                        </a:prstGeom>
                        <a:solidFill>
                          <a:srgbClr val="FFFFFF"/>
                        </a:solidFill>
                        <a:ln w="9525">
                          <a:solidFill>
                            <a:srgbClr val="000000"/>
                          </a:solidFill>
                          <a:miter lim="800000"/>
                          <a:headEnd/>
                          <a:tailEnd/>
                        </a:ln>
                      </wps:spPr>
                      <wps:txbx>
                        <w:txbxContent>
                          <w:p w:rsidR="008C53DD" w:rsidRPr="002A09D8" w:rsidRDefault="008C53DD" w:rsidP="00645256">
                            <w:pPr>
                              <w:pStyle w:val="Title"/>
                              <w:rPr>
                                <w:rFonts w:cs="Arial"/>
                                <w:b w:val="0"/>
                                <w:bCs w:val="0"/>
                                <w:sz w:val="32"/>
                                <w:u w:val="single"/>
                              </w:rPr>
                            </w:pPr>
                            <w:r w:rsidRPr="008B7CEF">
                              <w:rPr>
                                <w:rFonts w:cs="Arial"/>
                                <w:b w:val="0"/>
                                <w:bCs w:val="0"/>
                                <w:sz w:val="32"/>
                                <w:u w:val="single"/>
                              </w:rPr>
                              <w:t xml:space="preserve">OPT-OUT </w:t>
                            </w:r>
                            <w:r w:rsidRPr="002A09D8">
                              <w:rPr>
                                <w:rFonts w:cs="Arial"/>
                                <w:b w:val="0"/>
                                <w:bCs w:val="0"/>
                                <w:sz w:val="32"/>
                                <w:u w:val="single"/>
                              </w:rPr>
                              <w:t>SHARED CARE GUIDELINE</w:t>
                            </w:r>
                          </w:p>
                          <w:p w:rsidR="008C53DD" w:rsidRPr="0079042C" w:rsidRDefault="008C53DD" w:rsidP="00645256">
                            <w:pPr>
                              <w:pStyle w:val="Title"/>
                              <w:rPr>
                                <w:rFonts w:cs="Arial"/>
                                <w:b w:val="0"/>
                                <w:u w:val="single"/>
                              </w:rPr>
                            </w:pPr>
                            <w:r w:rsidRPr="0079042C">
                              <w:rPr>
                                <w:rFonts w:cs="Arial"/>
                                <w:b w:val="0"/>
                                <w:u w:val="single"/>
                              </w:rPr>
                              <w:t xml:space="preserve">It is assumed that shared care </w:t>
                            </w:r>
                            <w:r w:rsidRPr="0079042C">
                              <w:rPr>
                                <w:rFonts w:cs="Arial"/>
                                <w:u w:val="single"/>
                              </w:rPr>
                              <w:t>will</w:t>
                            </w:r>
                            <w:r w:rsidRPr="0079042C">
                              <w:rPr>
                                <w:rFonts w:cs="Arial"/>
                                <w:b w:val="0"/>
                                <w:u w:val="single"/>
                              </w:rPr>
                              <w:t xml:space="preserve"> be accepted unless the s</w:t>
                            </w:r>
                            <w:r>
                              <w:rPr>
                                <w:rFonts w:cs="Arial"/>
                                <w:b w:val="0"/>
                                <w:u w:val="single"/>
                              </w:rPr>
                              <w:t>pecialist is informed otherwise</w:t>
                            </w:r>
                          </w:p>
                          <w:p w:rsidR="008C53DD" w:rsidRDefault="008C53DD" w:rsidP="00FE7795">
                            <w:pPr>
                              <w:pStyle w:val="Title"/>
                              <w:rPr>
                                <w:rFonts w:cs="Arial"/>
                                <w:b w:val="0"/>
                                <w:u w:val="single"/>
                              </w:rPr>
                            </w:pPr>
                            <w:proofErr w:type="gramStart"/>
                            <w:r w:rsidRPr="0079042C">
                              <w:rPr>
                                <w:rFonts w:cs="Arial"/>
                                <w:b w:val="0"/>
                                <w:u w:val="single"/>
                              </w:rPr>
                              <w:t>within</w:t>
                            </w:r>
                            <w:proofErr w:type="gramEnd"/>
                            <w:r w:rsidRPr="0079042C">
                              <w:rPr>
                                <w:rFonts w:cs="Arial"/>
                                <w:b w:val="0"/>
                                <w:u w:val="single"/>
                              </w:rPr>
                              <w:t xml:space="preserve"> 28 days of receipt of </w:t>
                            </w:r>
                            <w:r>
                              <w:rPr>
                                <w:rFonts w:cs="Arial"/>
                                <w:b w:val="0"/>
                                <w:u w:val="single"/>
                              </w:rPr>
                              <w:t>the</w:t>
                            </w:r>
                            <w:r w:rsidRPr="0079042C">
                              <w:rPr>
                                <w:rFonts w:cs="Arial"/>
                                <w:b w:val="0"/>
                                <w:u w:val="single"/>
                              </w:rPr>
                              <w:t xml:space="preserve"> request</w:t>
                            </w:r>
                            <w:r>
                              <w:rPr>
                                <w:rFonts w:cs="Arial"/>
                                <w:b w:val="0"/>
                                <w:u w:val="single"/>
                              </w:rPr>
                              <w:t xml:space="preserve"> at the end of this document</w:t>
                            </w:r>
                            <w:r w:rsidRPr="0079042C">
                              <w:rPr>
                                <w:rFonts w:cs="Arial"/>
                                <w:b w:val="0"/>
                                <w:u w:val="single"/>
                              </w:rPr>
                              <w:t>.</w:t>
                            </w:r>
                          </w:p>
                          <w:p w:rsidR="008C53DD" w:rsidRPr="0079042C" w:rsidRDefault="008C53DD" w:rsidP="00FE7795">
                            <w:pPr>
                              <w:pStyle w:val="Title"/>
                              <w:rPr>
                                <w:rFonts w:cs="Arial"/>
                                <w:b w:val="0"/>
                                <w:u w:val="single"/>
                              </w:rPr>
                            </w:pPr>
                          </w:p>
                          <w:p w:rsidR="008C53DD" w:rsidRPr="00FE7795" w:rsidRDefault="008C53DD" w:rsidP="00FE7795">
                            <w:pPr>
                              <w:jc w:val="center"/>
                              <w:rPr>
                                <w:rFonts w:cs="Arial"/>
                                <w:sz w:val="24"/>
                              </w:rPr>
                            </w:pPr>
                            <w:r w:rsidRPr="00FE7795">
                              <w:rPr>
                                <w:rFonts w:cs="Arial"/>
                                <w:sz w:val="24"/>
                              </w:rPr>
                              <w:t xml:space="preserve">MEDICATION NAME: </w:t>
                            </w:r>
                            <w:r w:rsidRPr="00FE7795">
                              <w:rPr>
                                <w:rFonts w:cs="Arial"/>
                                <w:b/>
                                <w:sz w:val="24"/>
                              </w:rPr>
                              <w:t>Sulfasalazine E</w:t>
                            </w:r>
                            <w:r>
                              <w:rPr>
                                <w:rFonts w:cs="Arial"/>
                                <w:b/>
                                <w:sz w:val="24"/>
                              </w:rPr>
                              <w:t>nteric Coated (EC)</w:t>
                            </w:r>
                            <w:r w:rsidRPr="00FE7795">
                              <w:rPr>
                                <w:rFonts w:cs="Arial"/>
                                <w:b/>
                                <w:sz w:val="24"/>
                              </w:rPr>
                              <w:t xml:space="preserve"> Tablets</w:t>
                            </w:r>
                          </w:p>
                          <w:p w:rsidR="008C53DD" w:rsidRPr="00FE7795" w:rsidRDefault="008C53DD" w:rsidP="00FE7795">
                            <w:pPr>
                              <w:jc w:val="center"/>
                              <w:rPr>
                                <w:rFonts w:cs="Arial"/>
                                <w:sz w:val="24"/>
                              </w:rPr>
                            </w:pPr>
                            <w:r w:rsidRPr="00FE7795">
                              <w:rPr>
                                <w:rFonts w:cs="Arial"/>
                                <w:sz w:val="24"/>
                              </w:rPr>
                              <w:t xml:space="preserve">INDICATIONS </w:t>
                            </w:r>
                            <w:proofErr w:type="gramStart"/>
                            <w:r w:rsidRPr="00FE7795">
                              <w:rPr>
                                <w:rFonts w:cs="Arial"/>
                                <w:sz w:val="24"/>
                              </w:rPr>
                              <w:t xml:space="preserve">COVERED: </w:t>
                            </w:r>
                            <w:r>
                              <w:rPr>
                                <w:rFonts w:cs="Arial"/>
                                <w:sz w:val="24"/>
                              </w:rPr>
                              <w:t>I</w:t>
                            </w:r>
                            <w:r w:rsidRPr="00FE7795">
                              <w:rPr>
                                <w:rFonts w:cs="Arial"/>
                                <w:sz w:val="24"/>
                              </w:rPr>
                              <w:t>nflammatory</w:t>
                            </w:r>
                            <w:proofErr w:type="gramEnd"/>
                            <w:r w:rsidRPr="00FE7795">
                              <w:rPr>
                                <w:rFonts w:cs="Arial"/>
                                <w:sz w:val="24"/>
                              </w:rPr>
                              <w:t xml:space="preserve"> conditions </w:t>
                            </w:r>
                            <w:r>
                              <w:rPr>
                                <w:rFonts w:cs="Arial"/>
                                <w:sz w:val="24"/>
                              </w:rPr>
                              <w:t xml:space="preserve">(excluding MSK indications) </w:t>
                            </w:r>
                            <w:r w:rsidRPr="00FE7795">
                              <w:rPr>
                                <w:rFonts w:cs="Arial"/>
                                <w:sz w:val="24"/>
                              </w:rPr>
                              <w:t>in adults</w:t>
                            </w:r>
                            <w:r>
                              <w:rPr>
                                <w:rFonts w:cs="Arial"/>
                                <w:sz w:val="24"/>
                              </w:rPr>
                              <w:t>.</w:t>
                            </w:r>
                          </w:p>
                          <w:p w:rsidR="008C53DD" w:rsidRPr="0079042C" w:rsidRDefault="008C53DD" w:rsidP="00645256">
                            <w:pPr>
                              <w:pStyle w:val="Title"/>
                              <w:rPr>
                                <w:rFonts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8pt;margin-top:9.6pt;width:532.2pt;height:88.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">
                <v:textbox>
                  <w:txbxContent>
                    <w:p w:rsidR="008C53DD" w:rsidRPr="002A09D8" w:rsidRDefault="008C53DD" w:rsidP="00645256">
                      <w:pPr>
                        <w:pStyle w:val="Title"/>
                        <w:rPr>
                          <w:rFonts w:cs="Arial"/>
                          <w:b w:val="0"/>
                          <w:bCs w:val="0"/>
                          <w:sz w:val="32"/>
                          <w:u w:val="single"/>
                        </w:rPr>
                      </w:pPr>
                      <w:r w:rsidRPr="008B7CEF">
                        <w:rPr>
                          <w:rFonts w:cs="Arial"/>
                          <w:b w:val="0"/>
                          <w:bCs w:val="0"/>
                          <w:sz w:val="32"/>
                          <w:u w:val="single"/>
                        </w:rPr>
                        <w:t xml:space="preserve">OPT-OUT </w:t>
                      </w:r>
                      <w:r w:rsidRPr="002A09D8">
                        <w:rPr>
                          <w:rFonts w:cs="Arial"/>
                          <w:b w:val="0"/>
                          <w:bCs w:val="0"/>
                          <w:sz w:val="32"/>
                          <w:u w:val="single"/>
                        </w:rPr>
                        <w:t>SHARED CARE GUIDELINE</w:t>
                      </w:r>
                    </w:p>
                    <w:p w:rsidR="008C53DD" w:rsidRPr="0079042C" w:rsidRDefault="008C53DD" w:rsidP="00645256">
                      <w:pPr>
                        <w:pStyle w:val="Title"/>
                        <w:rPr>
                          <w:rFonts w:cs="Arial"/>
                          <w:b w:val="0"/>
                          <w:u w:val="single"/>
                        </w:rPr>
                      </w:pPr>
                      <w:r w:rsidRPr="0079042C">
                        <w:rPr>
                          <w:rFonts w:cs="Arial"/>
                          <w:b w:val="0"/>
                          <w:u w:val="single"/>
                        </w:rPr>
                        <w:t xml:space="preserve">It is assumed that shared care </w:t>
                      </w:r>
                      <w:r w:rsidRPr="0079042C">
                        <w:rPr>
                          <w:rFonts w:cs="Arial"/>
                          <w:u w:val="single"/>
                        </w:rPr>
                        <w:t>will</w:t>
                      </w:r>
                      <w:r w:rsidRPr="0079042C">
                        <w:rPr>
                          <w:rFonts w:cs="Arial"/>
                          <w:b w:val="0"/>
                          <w:u w:val="single"/>
                        </w:rPr>
                        <w:t xml:space="preserve"> be accepted unless the s</w:t>
                      </w:r>
                      <w:r>
                        <w:rPr>
                          <w:rFonts w:cs="Arial"/>
                          <w:b w:val="0"/>
                          <w:u w:val="single"/>
                        </w:rPr>
                        <w:t>pecialist is informed otherwise</w:t>
                      </w:r>
                    </w:p>
                    <w:p w:rsidR="008C53DD" w:rsidRDefault="008C53DD" w:rsidP="00FE7795">
                      <w:pPr>
                        <w:pStyle w:val="Title"/>
                        <w:rPr>
                          <w:rFonts w:cs="Arial"/>
                          <w:b w:val="0"/>
                          <w:u w:val="single"/>
                        </w:rPr>
                      </w:pPr>
                      <w:proofErr w:type="gramStart"/>
                      <w:r w:rsidRPr="0079042C">
                        <w:rPr>
                          <w:rFonts w:cs="Arial"/>
                          <w:b w:val="0"/>
                          <w:u w:val="single"/>
                        </w:rPr>
                        <w:t>within</w:t>
                      </w:r>
                      <w:proofErr w:type="gramEnd"/>
                      <w:r w:rsidRPr="0079042C">
                        <w:rPr>
                          <w:rFonts w:cs="Arial"/>
                          <w:b w:val="0"/>
                          <w:u w:val="single"/>
                        </w:rPr>
                        <w:t xml:space="preserve"> 28 days of receipt of </w:t>
                      </w:r>
                      <w:r>
                        <w:rPr>
                          <w:rFonts w:cs="Arial"/>
                          <w:b w:val="0"/>
                          <w:u w:val="single"/>
                        </w:rPr>
                        <w:t>the</w:t>
                      </w:r>
                      <w:r w:rsidRPr="0079042C">
                        <w:rPr>
                          <w:rFonts w:cs="Arial"/>
                          <w:b w:val="0"/>
                          <w:u w:val="single"/>
                        </w:rPr>
                        <w:t xml:space="preserve"> request</w:t>
                      </w:r>
                      <w:r>
                        <w:rPr>
                          <w:rFonts w:cs="Arial"/>
                          <w:b w:val="0"/>
                          <w:u w:val="single"/>
                        </w:rPr>
                        <w:t xml:space="preserve"> at the end of this document</w:t>
                      </w:r>
                      <w:r w:rsidRPr="0079042C">
                        <w:rPr>
                          <w:rFonts w:cs="Arial"/>
                          <w:b w:val="0"/>
                          <w:u w:val="single"/>
                        </w:rPr>
                        <w:t>.</w:t>
                      </w:r>
                    </w:p>
                    <w:p w:rsidR="008C53DD" w:rsidRPr="0079042C" w:rsidRDefault="008C53DD" w:rsidP="00FE7795">
                      <w:pPr>
                        <w:pStyle w:val="Title"/>
                        <w:rPr>
                          <w:rFonts w:cs="Arial"/>
                          <w:b w:val="0"/>
                          <w:u w:val="single"/>
                        </w:rPr>
                      </w:pPr>
                    </w:p>
                    <w:p w:rsidR="008C53DD" w:rsidRPr="00FE7795" w:rsidRDefault="008C53DD" w:rsidP="00FE7795">
                      <w:pPr>
                        <w:jc w:val="center"/>
                        <w:rPr>
                          <w:rFonts w:cs="Arial"/>
                          <w:sz w:val="24"/>
                        </w:rPr>
                      </w:pPr>
                      <w:r w:rsidRPr="00FE7795">
                        <w:rPr>
                          <w:rFonts w:cs="Arial"/>
                          <w:sz w:val="24"/>
                        </w:rPr>
                        <w:t xml:space="preserve">MEDICATION NAME: </w:t>
                      </w:r>
                      <w:r w:rsidRPr="00FE7795">
                        <w:rPr>
                          <w:rFonts w:cs="Arial"/>
                          <w:b/>
                          <w:sz w:val="24"/>
                        </w:rPr>
                        <w:t>Sulfasalazine E</w:t>
                      </w:r>
                      <w:r>
                        <w:rPr>
                          <w:rFonts w:cs="Arial"/>
                          <w:b/>
                          <w:sz w:val="24"/>
                        </w:rPr>
                        <w:t>nteric Coated (EC)</w:t>
                      </w:r>
                      <w:r w:rsidRPr="00FE7795">
                        <w:rPr>
                          <w:rFonts w:cs="Arial"/>
                          <w:b/>
                          <w:sz w:val="24"/>
                        </w:rPr>
                        <w:t xml:space="preserve"> Tablets</w:t>
                      </w:r>
                    </w:p>
                    <w:p w:rsidR="008C53DD" w:rsidRPr="00FE7795" w:rsidRDefault="008C53DD" w:rsidP="00FE7795">
                      <w:pPr>
                        <w:jc w:val="center"/>
                        <w:rPr>
                          <w:rFonts w:cs="Arial"/>
                          <w:sz w:val="24"/>
                        </w:rPr>
                      </w:pPr>
                      <w:r w:rsidRPr="00FE7795">
                        <w:rPr>
                          <w:rFonts w:cs="Arial"/>
                          <w:sz w:val="24"/>
                        </w:rPr>
                        <w:t xml:space="preserve">INDICATIONS </w:t>
                      </w:r>
                      <w:proofErr w:type="gramStart"/>
                      <w:r w:rsidRPr="00FE7795">
                        <w:rPr>
                          <w:rFonts w:cs="Arial"/>
                          <w:sz w:val="24"/>
                        </w:rPr>
                        <w:t xml:space="preserve">COVERED: </w:t>
                      </w:r>
                      <w:r>
                        <w:rPr>
                          <w:rFonts w:cs="Arial"/>
                          <w:sz w:val="24"/>
                        </w:rPr>
                        <w:t>I</w:t>
                      </w:r>
                      <w:r w:rsidRPr="00FE7795">
                        <w:rPr>
                          <w:rFonts w:cs="Arial"/>
                          <w:sz w:val="24"/>
                        </w:rPr>
                        <w:t>nflammatory</w:t>
                      </w:r>
                      <w:proofErr w:type="gramEnd"/>
                      <w:r w:rsidRPr="00FE7795">
                        <w:rPr>
                          <w:rFonts w:cs="Arial"/>
                          <w:sz w:val="24"/>
                        </w:rPr>
                        <w:t xml:space="preserve"> conditions </w:t>
                      </w:r>
                      <w:r>
                        <w:rPr>
                          <w:rFonts w:cs="Arial"/>
                          <w:sz w:val="24"/>
                        </w:rPr>
                        <w:t xml:space="preserve">(excluding MSK indications) </w:t>
                      </w:r>
                      <w:r w:rsidRPr="00FE7795">
                        <w:rPr>
                          <w:rFonts w:cs="Arial"/>
                          <w:sz w:val="24"/>
                        </w:rPr>
                        <w:t>in adults</w:t>
                      </w:r>
                      <w:r>
                        <w:rPr>
                          <w:rFonts w:cs="Arial"/>
                          <w:sz w:val="24"/>
                        </w:rPr>
                        <w:t>.</w:t>
                      </w:r>
                    </w:p>
                    <w:p w:rsidR="008C53DD" w:rsidRPr="0079042C" w:rsidRDefault="008C53DD" w:rsidP="00645256">
                      <w:pPr>
                        <w:pStyle w:val="Title"/>
                        <w:rPr>
                          <w:rFonts w:cs="Arial"/>
                          <w:sz w:val="28"/>
                          <w:szCs w:val="28"/>
                        </w:rPr>
                      </w:pPr>
                    </w:p>
                  </w:txbxContent>
                </v:textbox>
                <w10:wrap type="square" anchorx="margin" anchory="margin"/>
              </v:shape>
            </w:pict>
          </mc:Fallback>
        </mc:AlternateContent>
      </w:r>
      <w:r w:rsidRPr="00365580">
        <w:rPr>
          <w:b/>
          <w:szCs w:val="22"/>
        </w:rPr>
        <w:t>Brighton and Hove CCG</w:t>
      </w:r>
      <w:r w:rsidR="00507044">
        <w:rPr>
          <w:b/>
          <w:szCs w:val="22"/>
        </w:rPr>
        <w:t>, High Weald Lewes Havens CCG</w:t>
      </w:r>
      <w:r w:rsidRPr="00365580">
        <w:rPr>
          <w:b/>
          <w:szCs w:val="22"/>
        </w:rPr>
        <w:t>, Crawley CCG</w:t>
      </w:r>
      <w:r>
        <w:rPr>
          <w:b/>
          <w:szCs w:val="22"/>
        </w:rPr>
        <w:t xml:space="preserve"> and </w:t>
      </w:r>
      <w:r w:rsidRPr="00365580">
        <w:rPr>
          <w:b/>
          <w:szCs w:val="22"/>
        </w:rPr>
        <w:t>Horsham and Mid-Sussex CCG</w:t>
      </w:r>
    </w:p>
    <w:p w:rsidR="00645256" w:rsidRPr="00365580" w:rsidRDefault="00645256" w:rsidP="00645256">
      <w:pPr>
        <w:spacing w:after="120"/>
        <w:jc w:val="center"/>
        <w:rPr>
          <w:b/>
          <w:szCs w:val="22"/>
        </w:rPr>
      </w:pPr>
      <w:r w:rsidRPr="00365580">
        <w:rPr>
          <w:b/>
          <w:szCs w:val="22"/>
        </w:rPr>
        <w:t xml:space="preserve">Traffic Light System Classification: </w:t>
      </w:r>
      <w:r w:rsidRPr="00507044">
        <w:rPr>
          <w:b/>
          <w:color w:val="FF9900"/>
          <w:szCs w:val="22"/>
        </w:rPr>
        <w:t>Amber</w:t>
      </w:r>
    </w:p>
    <w:tbl>
      <w:tblPr>
        <w:tblW w:w="10633"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1"/>
        <w:gridCol w:w="5094"/>
        <w:gridCol w:w="2058"/>
      </w:tblGrid>
      <w:tr w:rsidR="00645256" w:rsidRPr="00266B2E" w:rsidTr="00C76F3C">
        <w:trPr>
          <w:jc w:val="center"/>
        </w:trPr>
        <w:tc>
          <w:tcPr>
            <w:tcW w:w="10633" w:type="dxa"/>
            <w:gridSpan w:val="3"/>
            <w:tcBorders>
              <w:bottom w:val="single" w:sz="4" w:space="0" w:color="auto"/>
            </w:tcBorders>
          </w:tcPr>
          <w:p w:rsidR="00645256" w:rsidRPr="00266B2E" w:rsidRDefault="00645256" w:rsidP="00507044">
            <w:pPr>
              <w:pStyle w:val="Subtitle"/>
              <w:spacing w:before="120" w:after="120"/>
              <w:rPr>
                <w:rFonts w:cs="Arial"/>
              </w:rPr>
            </w:pPr>
            <w:r w:rsidRPr="00266B2E">
              <w:rPr>
                <w:rFonts w:cs="Arial"/>
              </w:rPr>
              <w:t>NOTES to the general practitioner (GP) or primary care prescriber</w:t>
            </w:r>
          </w:p>
          <w:p w:rsidR="00645256" w:rsidRPr="00266B2E" w:rsidRDefault="00645256" w:rsidP="00507044">
            <w:pPr>
              <w:jc w:val="both"/>
              <w:rPr>
                <w:rFonts w:eastAsia="Calibri" w:cs="Arial"/>
                <w:szCs w:val="20"/>
              </w:rPr>
            </w:pPr>
            <w:r w:rsidRPr="00266B2E">
              <w:rPr>
                <w:rFonts w:eastAsia="Calibri" w:cs="Arial"/>
                <w:szCs w:val="20"/>
              </w:rPr>
              <w:t>For medicines which require specialist initiation and/or dose titration and specific ongoing monitoring.  For initiation, dose stabilisation and prescribing (including monitoring) by a specialist until the patient is stabilised (usually for 3 months) after which the GP may be asked to work under shared care through the use of approved shared care guidelines.</w:t>
            </w:r>
          </w:p>
          <w:p w:rsidR="00645256" w:rsidRPr="00266B2E" w:rsidRDefault="00645256" w:rsidP="00507044">
            <w:pPr>
              <w:spacing w:after="120"/>
              <w:jc w:val="both"/>
              <w:rPr>
                <w:rFonts w:eastAsia="Calibri" w:cs="Arial"/>
                <w:szCs w:val="20"/>
              </w:rPr>
            </w:pPr>
            <w:r w:rsidRPr="00266B2E">
              <w:rPr>
                <w:rFonts w:cs="Arial"/>
                <w:szCs w:val="20"/>
              </w:rPr>
              <w:t>The expectation is that these guidelines should provide sufficient information to enable GPs or primary care prescribers to be confident to take clinical and legal responsibility for prescribing these medicines.</w:t>
            </w:r>
          </w:p>
          <w:p w:rsidR="00645256" w:rsidRPr="00266B2E" w:rsidRDefault="00645256" w:rsidP="00507044">
            <w:pPr>
              <w:pStyle w:val="BodyText3"/>
              <w:jc w:val="both"/>
              <w:rPr>
                <w:rFonts w:cs="Arial"/>
                <w:szCs w:val="20"/>
                <w:lang w:val="en-AU"/>
              </w:rPr>
            </w:pPr>
            <w:r w:rsidRPr="00266B2E">
              <w:rPr>
                <w:rFonts w:cs="Arial"/>
                <w:szCs w:val="20"/>
                <w:lang w:val="en-AU"/>
              </w:rPr>
              <w:t>The questions below will help you confirm this:</w:t>
            </w:r>
          </w:p>
          <w:p w:rsidR="00645256" w:rsidRPr="00266B2E" w:rsidRDefault="00645256" w:rsidP="00645256">
            <w:pPr>
              <w:numPr>
                <w:ilvl w:val="0"/>
                <w:numId w:val="1"/>
              </w:numPr>
              <w:rPr>
                <w:rFonts w:cs="Arial"/>
                <w:szCs w:val="20"/>
              </w:rPr>
            </w:pPr>
            <w:r w:rsidRPr="00266B2E">
              <w:rPr>
                <w:rFonts w:cs="Arial"/>
                <w:szCs w:val="20"/>
              </w:rPr>
              <w:t>Is the patient currently under your care (e.g. shared care should not be agreed if the patient is currently in intermediate care following hospital discharge)?</w:t>
            </w:r>
          </w:p>
          <w:p w:rsidR="00645256" w:rsidRPr="00266B2E" w:rsidRDefault="00645256" w:rsidP="00645256">
            <w:pPr>
              <w:numPr>
                <w:ilvl w:val="0"/>
                <w:numId w:val="1"/>
              </w:numPr>
              <w:jc w:val="both"/>
              <w:rPr>
                <w:rFonts w:cs="Arial"/>
                <w:szCs w:val="20"/>
              </w:rPr>
            </w:pPr>
            <w:r w:rsidRPr="00266B2E">
              <w:rPr>
                <w:rFonts w:cs="Arial"/>
                <w:szCs w:val="20"/>
              </w:rPr>
              <w:t>Do you have the relevant knowledge, skills and access to equipment to allow you to monitor treatment as indicated in this shared care guideline?</w:t>
            </w:r>
          </w:p>
          <w:p w:rsidR="00645256" w:rsidRPr="00266B2E" w:rsidRDefault="00645256" w:rsidP="00645256">
            <w:pPr>
              <w:numPr>
                <w:ilvl w:val="0"/>
                <w:numId w:val="1"/>
              </w:numPr>
              <w:spacing w:after="120"/>
              <w:jc w:val="both"/>
              <w:rPr>
                <w:rFonts w:cs="Arial"/>
                <w:szCs w:val="20"/>
              </w:rPr>
            </w:pPr>
            <w:r w:rsidRPr="00266B2E">
              <w:rPr>
                <w:rFonts w:cs="Arial"/>
                <w:szCs w:val="20"/>
              </w:rPr>
              <w:t>Have you been provided with relevant clinical details including monitoring data?</w:t>
            </w:r>
          </w:p>
          <w:p w:rsidR="00645256" w:rsidRPr="00266B2E" w:rsidRDefault="00645256" w:rsidP="00507044">
            <w:pPr>
              <w:pStyle w:val="BodyText3"/>
              <w:spacing w:after="120"/>
              <w:rPr>
                <w:rFonts w:cs="Arial"/>
                <w:b/>
                <w:szCs w:val="20"/>
                <w:lang w:val="en-AU"/>
              </w:rPr>
            </w:pPr>
            <w:r w:rsidRPr="00266B2E">
              <w:rPr>
                <w:rFonts w:cs="Arial"/>
                <w:b/>
                <w:szCs w:val="20"/>
                <w:lang w:val="en-AU"/>
              </w:rPr>
              <w:t xml:space="preserve">If you can answer YES to all these questions (after reading this shared care guideline), then it is appropriate for you to accept prescribing responsibility. It is assumed that shared care will be accepted </w:t>
            </w:r>
            <w:r w:rsidRPr="00266B2E">
              <w:rPr>
                <w:rFonts w:cs="Arial"/>
                <w:b/>
                <w:szCs w:val="20"/>
                <w:u w:val="single"/>
                <w:lang w:val="en-AU"/>
              </w:rPr>
              <w:t>unless</w:t>
            </w:r>
            <w:r w:rsidRPr="00266B2E">
              <w:rPr>
                <w:rFonts w:cs="Arial"/>
                <w:b/>
                <w:szCs w:val="20"/>
                <w:lang w:val="en-AU"/>
              </w:rPr>
              <w:t xml:space="preserve"> the specialist is informed otherwise within 28 days of receipt of this request.</w:t>
            </w:r>
          </w:p>
          <w:p w:rsidR="00645256" w:rsidRPr="00266B2E" w:rsidRDefault="00645256" w:rsidP="00507044">
            <w:pPr>
              <w:pStyle w:val="BodyText3"/>
              <w:spacing w:after="120"/>
              <w:jc w:val="both"/>
              <w:rPr>
                <w:rFonts w:cs="Arial"/>
                <w:b/>
                <w:szCs w:val="20"/>
                <w:lang w:val="en-AU"/>
              </w:rPr>
            </w:pPr>
            <w:r w:rsidRPr="00266B2E">
              <w:rPr>
                <w:rFonts w:cs="Arial"/>
                <w:b/>
                <w:szCs w:val="20"/>
                <w:lang w:val="en-AU"/>
              </w:rPr>
              <w:t xml:space="preserve">If the answer is NO to any of these questions, you should not accept prescribing responsibility. You should inform the consultant or specialist within 28 days, outlining your reasons for NOT prescribing. If you do not have the confidence to prescribe, we suggest you discuss this with your local Trust or specialist service, </w:t>
            </w:r>
            <w:proofErr w:type="gramStart"/>
            <w:r w:rsidRPr="00266B2E">
              <w:rPr>
                <w:rFonts w:cs="Arial"/>
                <w:b/>
                <w:szCs w:val="20"/>
                <w:lang w:val="en-AU"/>
              </w:rPr>
              <w:t>who</w:t>
            </w:r>
            <w:proofErr w:type="gramEnd"/>
            <w:r w:rsidRPr="00266B2E">
              <w:rPr>
                <w:rFonts w:cs="Arial"/>
                <w:b/>
                <w:szCs w:val="20"/>
                <w:lang w:val="en-AU"/>
              </w:rPr>
              <w:t xml:space="preserve"> will be willing to provide training and support. If you still lack the confidence to accept clinical responsibility, you still have the right to decline. Your CCG medicines management pharmacist will assist you in making decisions about shared care if you are unsure.</w:t>
            </w:r>
          </w:p>
          <w:p w:rsidR="00645256" w:rsidRPr="00266B2E" w:rsidRDefault="00645256" w:rsidP="00507044">
            <w:pPr>
              <w:pStyle w:val="BodyText3"/>
              <w:spacing w:after="120"/>
              <w:jc w:val="both"/>
              <w:rPr>
                <w:rFonts w:cs="Arial"/>
                <w:szCs w:val="20"/>
                <w:lang w:val="en-AU"/>
              </w:rPr>
            </w:pPr>
            <w:r w:rsidRPr="00266B2E">
              <w:rPr>
                <w:rFonts w:cs="Arial"/>
                <w:szCs w:val="20"/>
                <w:lang w:val="en-AU"/>
              </w:rPr>
              <w:t>Prescribing unlicensed medicines or medicines outside the recommendations of their marketing authorisation alters (and probably increases) the prescriber’s professional responsibility and potential liability.  The prescriber should be able to justify and feel competent in using such medicines.</w:t>
            </w:r>
          </w:p>
        </w:tc>
      </w:tr>
      <w:tr w:rsidR="00645256" w:rsidRPr="00266B2E" w:rsidTr="00C76F3C">
        <w:trPr>
          <w:trHeight w:val="487"/>
          <w:jc w:val="center"/>
        </w:trPr>
        <w:tc>
          <w:tcPr>
            <w:tcW w:w="10633" w:type="dxa"/>
            <w:gridSpan w:val="3"/>
            <w:tcBorders>
              <w:top w:val="single" w:sz="4" w:space="0" w:color="auto"/>
              <w:left w:val="nil"/>
              <w:bottom w:val="nil"/>
              <w:right w:val="nil"/>
            </w:tcBorders>
          </w:tcPr>
          <w:p w:rsidR="00645256" w:rsidRPr="00266B2E" w:rsidRDefault="00645256" w:rsidP="00507044">
            <w:pPr>
              <w:pStyle w:val="Subtitle"/>
              <w:spacing w:before="120" w:after="120"/>
              <w:rPr>
                <w:rFonts w:cs="Arial"/>
                <w:b w:val="0"/>
                <w:i/>
                <w:sz w:val="14"/>
                <w:szCs w:val="14"/>
              </w:rPr>
            </w:pPr>
            <w:r w:rsidRPr="00266B2E">
              <w:rPr>
                <w:rFonts w:cs="Arial"/>
                <w:b w:val="0"/>
                <w:i/>
                <w:sz w:val="18"/>
                <w:szCs w:val="14"/>
              </w:rPr>
              <w:t xml:space="preserve">The GP or primary care prescriber has the right to refuse to agree to </w:t>
            </w:r>
            <w:proofErr w:type="gramStart"/>
            <w:r w:rsidRPr="00266B2E">
              <w:rPr>
                <w:rFonts w:cs="Arial"/>
                <w:b w:val="0"/>
                <w:i/>
                <w:sz w:val="18"/>
                <w:szCs w:val="14"/>
              </w:rPr>
              <w:t>shared</w:t>
            </w:r>
            <w:proofErr w:type="gramEnd"/>
            <w:r w:rsidRPr="00266B2E">
              <w:rPr>
                <w:rFonts w:cs="Arial"/>
                <w:b w:val="0"/>
                <w:i/>
                <w:sz w:val="18"/>
                <w:szCs w:val="14"/>
              </w:rPr>
              <w:t xml:space="preserve"> care, in such an event the total clinical responsibility will remain with the consultant or specialist.</w:t>
            </w:r>
          </w:p>
        </w:tc>
      </w:tr>
      <w:tr w:rsidR="00C76F3C" w:rsidRPr="00052762" w:rsidTr="00C76F3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3481" w:type="dxa"/>
          </w:tcPr>
          <w:p w:rsidR="00C76F3C" w:rsidRPr="00052762" w:rsidRDefault="00C76F3C" w:rsidP="00D20129">
            <w:pPr>
              <w:tabs>
                <w:tab w:val="center" w:pos="4153"/>
                <w:tab w:val="right" w:pos="8306"/>
              </w:tabs>
              <w:rPr>
                <w:rFonts w:cs="Arial"/>
                <w:sz w:val="18"/>
                <w:szCs w:val="18"/>
              </w:rPr>
            </w:pPr>
            <w:r w:rsidRPr="00052762">
              <w:rPr>
                <w:rFonts w:cs="Arial"/>
                <w:b/>
                <w:sz w:val="18"/>
                <w:szCs w:val="18"/>
              </w:rPr>
              <w:t xml:space="preserve">Reason for update: </w:t>
            </w:r>
            <w:r w:rsidRPr="00052762">
              <w:rPr>
                <w:rFonts w:cs="Arial"/>
                <w:sz w:val="18"/>
                <w:szCs w:val="18"/>
              </w:rPr>
              <w:t>New BSR guidelines 2017</w:t>
            </w:r>
          </w:p>
        </w:tc>
        <w:tc>
          <w:tcPr>
            <w:tcW w:w="5094" w:type="dxa"/>
          </w:tcPr>
          <w:p w:rsidR="00C76F3C" w:rsidRPr="00052762" w:rsidRDefault="00C76F3C" w:rsidP="00D20129">
            <w:pPr>
              <w:tabs>
                <w:tab w:val="center" w:pos="4153"/>
                <w:tab w:val="right" w:pos="8306"/>
              </w:tabs>
              <w:rPr>
                <w:rFonts w:cs="Arial"/>
                <w:sz w:val="18"/>
                <w:szCs w:val="18"/>
              </w:rPr>
            </w:pPr>
            <w:proofErr w:type="gramStart"/>
            <w:r w:rsidRPr="00052762">
              <w:rPr>
                <w:rFonts w:cs="Arial"/>
                <w:b/>
                <w:sz w:val="18"/>
                <w:szCs w:val="18"/>
              </w:rPr>
              <w:t>Prepared by:</w:t>
            </w:r>
            <w:r w:rsidRPr="00052762">
              <w:rPr>
                <w:rFonts w:cs="Arial"/>
                <w:sz w:val="18"/>
                <w:szCs w:val="18"/>
              </w:rPr>
              <w:t xml:space="preserve"> acknowledgements to SCFT Medicines Management Team.</w:t>
            </w:r>
            <w:proofErr w:type="gramEnd"/>
            <w:r w:rsidRPr="00052762">
              <w:rPr>
                <w:rFonts w:cs="Arial"/>
                <w:sz w:val="18"/>
                <w:szCs w:val="18"/>
              </w:rPr>
              <w:t xml:space="preserve"> </w:t>
            </w:r>
          </w:p>
        </w:tc>
        <w:tc>
          <w:tcPr>
            <w:tcW w:w="2057" w:type="dxa"/>
          </w:tcPr>
          <w:p w:rsidR="00C76F3C" w:rsidRPr="00052762" w:rsidRDefault="00C76F3C" w:rsidP="00D20129">
            <w:pPr>
              <w:tabs>
                <w:tab w:val="center" w:pos="4153"/>
                <w:tab w:val="right" w:pos="8306"/>
              </w:tabs>
              <w:rPr>
                <w:rFonts w:cs="Arial"/>
                <w:sz w:val="18"/>
                <w:szCs w:val="18"/>
              </w:rPr>
            </w:pPr>
            <w:r w:rsidRPr="00052762">
              <w:rPr>
                <w:rFonts w:cs="Arial"/>
                <w:b/>
                <w:sz w:val="18"/>
                <w:szCs w:val="18"/>
              </w:rPr>
              <w:t xml:space="preserve">Updated by: </w:t>
            </w:r>
            <w:r w:rsidRPr="00052762">
              <w:rPr>
                <w:rFonts w:cs="Arial"/>
                <w:sz w:val="18"/>
                <w:szCs w:val="18"/>
              </w:rPr>
              <w:t>BSUH</w:t>
            </w:r>
          </w:p>
          <w:p w:rsidR="00C76F3C" w:rsidRPr="00052762" w:rsidRDefault="00C76F3C" w:rsidP="00D20129">
            <w:pPr>
              <w:tabs>
                <w:tab w:val="center" w:pos="4153"/>
                <w:tab w:val="right" w:pos="8306"/>
              </w:tabs>
              <w:rPr>
                <w:rFonts w:cs="Arial"/>
                <w:sz w:val="18"/>
                <w:szCs w:val="18"/>
              </w:rPr>
            </w:pPr>
          </w:p>
        </w:tc>
      </w:tr>
      <w:tr w:rsidR="00C76F3C" w:rsidRPr="00052762" w:rsidTr="00C76F3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32" w:type="dxa"/>
            <w:gridSpan w:val="3"/>
          </w:tcPr>
          <w:p w:rsidR="00C76F3C" w:rsidRPr="00052762" w:rsidRDefault="00C76F3C" w:rsidP="00D20129">
            <w:pPr>
              <w:tabs>
                <w:tab w:val="center" w:pos="4153"/>
                <w:tab w:val="right" w:pos="8306"/>
              </w:tabs>
              <w:rPr>
                <w:rFonts w:cs="Arial"/>
                <w:sz w:val="18"/>
                <w:szCs w:val="18"/>
              </w:rPr>
            </w:pPr>
            <w:r w:rsidRPr="00052762">
              <w:rPr>
                <w:rFonts w:cs="Arial"/>
                <w:b/>
                <w:sz w:val="18"/>
                <w:szCs w:val="18"/>
              </w:rPr>
              <w:t>Approved by (Specialist or Consultant):</w:t>
            </w:r>
            <w:r w:rsidRPr="00052762">
              <w:rPr>
                <w:rFonts w:cs="Arial"/>
                <w:sz w:val="18"/>
                <w:szCs w:val="18"/>
              </w:rPr>
              <w:t xml:space="preserve">  Dr Sarah Cooper, Consultant Neurologist, Dr Paul Farrant, Consultant Dermatologist, </w:t>
            </w:r>
            <w:r w:rsidRPr="00052762">
              <w:rPr>
                <w:rFonts w:eastAsiaTheme="minorHAnsi" w:cs="Arial"/>
                <w:sz w:val="18"/>
                <w:szCs w:val="18"/>
              </w:rPr>
              <w:t>Anja St. Clair-Jones, Consultant Pharmacist - Gastroenterology</w:t>
            </w:r>
            <w:r w:rsidRPr="00052762">
              <w:rPr>
                <w:rFonts w:cs="Arial"/>
                <w:sz w:val="18"/>
                <w:szCs w:val="18"/>
              </w:rPr>
              <w:t xml:space="preserve"> </w:t>
            </w:r>
          </w:p>
        </w:tc>
      </w:tr>
      <w:tr w:rsidR="00C76F3C" w:rsidRPr="00052762" w:rsidTr="00C76F3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32" w:type="dxa"/>
            <w:gridSpan w:val="3"/>
          </w:tcPr>
          <w:p w:rsidR="00C76F3C" w:rsidRPr="00052762" w:rsidRDefault="00C76F3C" w:rsidP="00D20129">
            <w:pPr>
              <w:tabs>
                <w:tab w:val="center" w:pos="4153"/>
                <w:tab w:val="right" w:pos="8306"/>
              </w:tabs>
              <w:rPr>
                <w:rFonts w:cs="Arial"/>
                <w:sz w:val="18"/>
                <w:szCs w:val="18"/>
              </w:rPr>
            </w:pPr>
            <w:r w:rsidRPr="00052762">
              <w:rPr>
                <w:rFonts w:cs="Arial"/>
                <w:b/>
                <w:sz w:val="18"/>
                <w:szCs w:val="18"/>
              </w:rPr>
              <w:t xml:space="preserve">Approved by (Chief Trust Pharmacist): </w:t>
            </w:r>
            <w:r w:rsidRPr="00052762">
              <w:rPr>
                <w:rFonts w:cs="Arial"/>
                <w:sz w:val="18"/>
                <w:szCs w:val="18"/>
              </w:rPr>
              <w:t>Mike Cross</w:t>
            </w:r>
          </w:p>
          <w:p w:rsidR="00C76F3C" w:rsidRPr="00052762" w:rsidRDefault="00C76F3C" w:rsidP="00D20129">
            <w:pPr>
              <w:tabs>
                <w:tab w:val="center" w:pos="4153"/>
                <w:tab w:val="right" w:pos="8306"/>
              </w:tabs>
              <w:rPr>
                <w:rFonts w:cs="Arial"/>
                <w:b/>
                <w:sz w:val="18"/>
                <w:szCs w:val="18"/>
              </w:rPr>
            </w:pPr>
          </w:p>
        </w:tc>
      </w:tr>
      <w:tr w:rsidR="00C76F3C" w:rsidRPr="00052762" w:rsidTr="00C76F3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
        </w:trPr>
        <w:tc>
          <w:tcPr>
            <w:tcW w:w="10632" w:type="dxa"/>
            <w:gridSpan w:val="3"/>
          </w:tcPr>
          <w:p w:rsidR="00C76F3C" w:rsidRPr="00052762" w:rsidRDefault="00C76F3C" w:rsidP="00D20129">
            <w:pPr>
              <w:tabs>
                <w:tab w:val="center" w:pos="4153"/>
                <w:tab w:val="right" w:pos="8306"/>
              </w:tabs>
              <w:rPr>
                <w:rFonts w:cs="Arial"/>
                <w:sz w:val="18"/>
                <w:szCs w:val="18"/>
              </w:rPr>
            </w:pPr>
            <w:r w:rsidRPr="00052762">
              <w:rPr>
                <w:rFonts w:cs="Arial"/>
                <w:b/>
                <w:sz w:val="18"/>
                <w:szCs w:val="18"/>
              </w:rPr>
              <w:t xml:space="preserve">Approved by (CCG Medicines Management Pharmacist): </w:t>
            </w:r>
            <w:r w:rsidRPr="00D579C9">
              <w:rPr>
                <w:rFonts w:cs="Arial"/>
                <w:sz w:val="18"/>
                <w:szCs w:val="18"/>
              </w:rPr>
              <w:t xml:space="preserve">Dr </w:t>
            </w:r>
            <w:r w:rsidRPr="00052762">
              <w:rPr>
                <w:rFonts w:cs="Arial"/>
                <w:sz w:val="18"/>
                <w:szCs w:val="18"/>
              </w:rPr>
              <w:t>Stewart Glaspole</w:t>
            </w:r>
          </w:p>
          <w:p w:rsidR="00C76F3C" w:rsidRPr="00052762" w:rsidRDefault="00C76F3C" w:rsidP="00D20129">
            <w:pPr>
              <w:tabs>
                <w:tab w:val="center" w:pos="4153"/>
                <w:tab w:val="right" w:pos="8306"/>
              </w:tabs>
              <w:rPr>
                <w:rFonts w:cs="Arial"/>
                <w:b/>
                <w:sz w:val="18"/>
                <w:szCs w:val="18"/>
              </w:rPr>
            </w:pPr>
          </w:p>
        </w:tc>
      </w:tr>
      <w:tr w:rsidR="00C76F3C" w:rsidRPr="00052762" w:rsidTr="00C76F3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32" w:type="dxa"/>
            <w:gridSpan w:val="3"/>
          </w:tcPr>
          <w:p w:rsidR="00C76F3C" w:rsidRPr="00052762" w:rsidRDefault="00C76F3C" w:rsidP="00D20129">
            <w:pPr>
              <w:tabs>
                <w:tab w:val="center" w:pos="4153"/>
                <w:tab w:val="right" w:pos="8306"/>
              </w:tabs>
              <w:rPr>
                <w:rFonts w:cs="Arial"/>
                <w:b/>
                <w:sz w:val="18"/>
                <w:szCs w:val="18"/>
              </w:rPr>
            </w:pPr>
            <w:r w:rsidRPr="00052762">
              <w:rPr>
                <w:rFonts w:cs="Arial"/>
                <w:b/>
                <w:sz w:val="18"/>
                <w:szCs w:val="18"/>
              </w:rPr>
              <w:t xml:space="preserve">Approved by Brighton and Hove CCG and High Weald Lewes Havens CCG on: </w:t>
            </w:r>
            <w:r w:rsidRPr="00052762">
              <w:rPr>
                <w:rFonts w:cs="Arial"/>
                <w:sz w:val="18"/>
                <w:szCs w:val="18"/>
              </w:rPr>
              <w:t>23</w:t>
            </w:r>
            <w:r w:rsidRPr="00052762">
              <w:rPr>
                <w:rFonts w:cs="Arial"/>
                <w:sz w:val="18"/>
                <w:szCs w:val="18"/>
                <w:vertAlign w:val="superscript"/>
              </w:rPr>
              <w:t>rd</w:t>
            </w:r>
            <w:r w:rsidRPr="00052762">
              <w:rPr>
                <w:rFonts w:cs="Arial"/>
                <w:sz w:val="18"/>
                <w:szCs w:val="18"/>
              </w:rPr>
              <w:t xml:space="preserve"> October</w:t>
            </w:r>
            <w:r>
              <w:rPr>
                <w:rFonts w:cs="Arial"/>
                <w:sz w:val="18"/>
                <w:szCs w:val="18"/>
              </w:rPr>
              <w:t xml:space="preserve"> 2018</w:t>
            </w:r>
          </w:p>
          <w:p w:rsidR="00C76F3C" w:rsidRPr="00052762" w:rsidRDefault="00C76F3C" w:rsidP="00D20129">
            <w:pPr>
              <w:tabs>
                <w:tab w:val="center" w:pos="4153"/>
                <w:tab w:val="right" w:pos="8306"/>
              </w:tabs>
              <w:rPr>
                <w:rFonts w:cs="Arial"/>
                <w:sz w:val="18"/>
                <w:szCs w:val="18"/>
              </w:rPr>
            </w:pPr>
          </w:p>
        </w:tc>
      </w:tr>
      <w:tr w:rsidR="00C76F3C" w:rsidRPr="00052762" w:rsidTr="00C76F3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32" w:type="dxa"/>
            <w:gridSpan w:val="3"/>
          </w:tcPr>
          <w:p w:rsidR="00C76F3C" w:rsidRPr="00052762" w:rsidRDefault="00C76F3C" w:rsidP="00D20129">
            <w:pPr>
              <w:tabs>
                <w:tab w:val="center" w:pos="4153"/>
                <w:tab w:val="right" w:pos="8306"/>
              </w:tabs>
              <w:rPr>
                <w:rFonts w:cs="Arial"/>
                <w:sz w:val="18"/>
                <w:szCs w:val="18"/>
              </w:rPr>
            </w:pPr>
            <w:r w:rsidRPr="00052762">
              <w:rPr>
                <w:rFonts w:cs="Arial"/>
                <w:b/>
                <w:sz w:val="18"/>
                <w:szCs w:val="18"/>
              </w:rPr>
              <w:t xml:space="preserve">Approved by Crawley CCG, Horsham and Mid-Sussex CCG on: </w:t>
            </w:r>
            <w:r w:rsidRPr="00052762">
              <w:rPr>
                <w:rFonts w:cs="Arial"/>
                <w:sz w:val="18"/>
                <w:szCs w:val="18"/>
              </w:rPr>
              <w:t>TBC</w:t>
            </w:r>
          </w:p>
          <w:p w:rsidR="00C76F3C" w:rsidRPr="00052762" w:rsidRDefault="00C76F3C" w:rsidP="00D20129">
            <w:pPr>
              <w:tabs>
                <w:tab w:val="center" w:pos="4153"/>
                <w:tab w:val="right" w:pos="8306"/>
              </w:tabs>
              <w:rPr>
                <w:rFonts w:cs="Arial"/>
                <w:b/>
                <w:sz w:val="18"/>
                <w:szCs w:val="18"/>
              </w:rPr>
            </w:pPr>
          </w:p>
        </w:tc>
      </w:tr>
    </w:tbl>
    <w:p w:rsidR="00C76F3C" w:rsidRDefault="00C76F3C" w:rsidP="00645256">
      <w:pPr>
        <w:tabs>
          <w:tab w:val="left" w:pos="1100"/>
          <w:tab w:val="left" w:pos="2366"/>
        </w:tabs>
        <w:spacing w:after="120"/>
        <w:jc w:val="both"/>
        <w:rPr>
          <w:rFonts w:cs="Arial"/>
          <w:sz w:val="24"/>
        </w:rPr>
      </w:pPr>
    </w:p>
    <w:p w:rsidR="00645256" w:rsidRPr="00DB0FA7" w:rsidRDefault="00645256" w:rsidP="00645256">
      <w:pPr>
        <w:tabs>
          <w:tab w:val="left" w:pos="1100"/>
          <w:tab w:val="left" w:pos="2366"/>
        </w:tabs>
        <w:spacing w:after="120"/>
        <w:jc w:val="both"/>
        <w:rPr>
          <w:rFonts w:cs="Arial"/>
          <w:b/>
          <w:bCs/>
          <w:sz w:val="24"/>
        </w:rPr>
      </w:pPr>
      <w:r w:rsidRPr="00C76F3C">
        <w:rPr>
          <w:rFonts w:cs="Arial"/>
          <w:sz w:val="24"/>
        </w:rPr>
        <w:br w:type="page"/>
      </w:r>
      <w:r w:rsidRPr="00DB0FA7">
        <w:rPr>
          <w:rFonts w:cs="Arial"/>
          <w:b/>
          <w:bCs/>
          <w:sz w:val="24"/>
        </w:rPr>
        <w:lastRenderedPageBreak/>
        <w:t>Information</w:t>
      </w:r>
    </w:p>
    <w:p w:rsidR="00645256" w:rsidRPr="00DB0FA7" w:rsidRDefault="00645256" w:rsidP="00645256">
      <w:pPr>
        <w:tabs>
          <w:tab w:val="left" w:pos="1100"/>
          <w:tab w:val="left" w:pos="2366"/>
        </w:tabs>
        <w:spacing w:after="120"/>
        <w:jc w:val="both"/>
        <w:rPr>
          <w:rFonts w:cs="Arial"/>
          <w:b/>
          <w:bCs/>
        </w:rPr>
      </w:pPr>
      <w:r w:rsidRPr="00DB0FA7">
        <w:rPr>
          <w:rFonts w:cs="Arial"/>
          <w:b/>
          <w:bCs/>
        </w:rPr>
        <w:t xml:space="preserve">This information sheet does not replace the </w:t>
      </w:r>
      <w:r w:rsidRPr="00DB0FA7">
        <w:rPr>
          <w:rFonts w:ascii="Helvetica" w:hAnsi="Helvetica" w:cs="Helvetica"/>
          <w:b/>
          <w:lang w:eastAsia="en-GB"/>
        </w:rPr>
        <w:t>Summary of Product Characteristics (SPC)</w:t>
      </w:r>
      <w:r w:rsidRPr="00DB0FA7">
        <w:rPr>
          <w:rFonts w:cs="Arial"/>
          <w:b/>
          <w:bCs/>
        </w:rPr>
        <w:t>, which should be read in conjunction with this guidance. Prescribers should also refer to the appropriate paragraph in the current edition of the BNF.</w:t>
      </w:r>
    </w:p>
    <w:tbl>
      <w:tblPr>
        <w:tblW w:w="0" w:type="auto"/>
        <w:tblInd w:w="108" w:type="dxa"/>
        <w:tblLook w:val="01E0" w:firstRow="1" w:lastRow="1" w:firstColumn="1" w:lastColumn="1" w:noHBand="0" w:noVBand="0"/>
      </w:tblPr>
      <w:tblGrid>
        <w:gridCol w:w="9441"/>
      </w:tblGrid>
      <w:tr w:rsidR="00645256" w:rsidRPr="00DB0FA7" w:rsidTr="00507044">
        <w:trPr>
          <w:trHeight w:val="473"/>
        </w:trPr>
        <w:tc>
          <w:tcPr>
            <w:tcW w:w="9134" w:type="dxa"/>
            <w:shd w:val="clear" w:color="auto" w:fill="auto"/>
          </w:tcPr>
          <w:p w:rsidR="00645256" w:rsidRPr="00DB0FA7" w:rsidRDefault="00645256" w:rsidP="00507044">
            <w:pPr>
              <w:pStyle w:val="RomanNumerials"/>
              <w:numPr>
                <w:ilvl w:val="0"/>
                <w:numId w:val="2"/>
              </w:numPr>
              <w:spacing w:before="120" w:after="120"/>
              <w:rPr>
                <w:rFonts w:ascii="Arial" w:hAnsi="Arial" w:cs="Arial"/>
                <w:bCs/>
              </w:rPr>
            </w:pPr>
            <w:r w:rsidRPr="00DB0FA7">
              <w:rPr>
                <w:rFonts w:ascii="Arial" w:hAnsi="Arial" w:cs="Arial"/>
                <w:b/>
                <w:bCs/>
              </w:rPr>
              <w:t>Link to the relevant SPC website</w:t>
            </w:r>
            <w:r w:rsidRPr="00DB0FA7">
              <w:rPr>
                <w:rFonts w:ascii="Arial" w:hAnsi="Arial" w:cs="Arial"/>
                <w:bCs/>
              </w:rPr>
              <w:t>:</w:t>
            </w:r>
            <w:r w:rsidRPr="00C06C3A">
              <w:rPr>
                <w:rFonts w:ascii="Arial" w:hAnsi="Arial" w:cs="Arial"/>
                <w:bCs/>
              </w:rPr>
              <w:t xml:space="preserve"> </w:t>
            </w:r>
            <w:hyperlink r:id="rId9" w:history="1">
              <w:r w:rsidRPr="00C06C3A">
                <w:rPr>
                  <w:rStyle w:val="Hyperlink"/>
                  <w:rFonts w:ascii="Arial" w:hAnsi="Arial" w:cs="Arial"/>
                  <w:bCs/>
                </w:rPr>
                <w:t>http://www.medicines.org.uk/emc/</w:t>
              </w:r>
            </w:hyperlink>
            <w:r>
              <w:rPr>
                <w:rFonts w:ascii="Arial" w:hAnsi="Arial" w:cs="Arial"/>
                <w:bCs/>
              </w:rPr>
              <w:t xml:space="preserve"> .</w:t>
            </w:r>
          </w:p>
        </w:tc>
      </w:tr>
      <w:tr w:rsidR="00645256" w:rsidRPr="00DB0FA7" w:rsidTr="00507044">
        <w:trPr>
          <w:trHeight w:val="473"/>
        </w:trPr>
        <w:tc>
          <w:tcPr>
            <w:tcW w:w="9134" w:type="dxa"/>
            <w:shd w:val="clear" w:color="auto" w:fill="auto"/>
          </w:tcPr>
          <w:p w:rsidR="00645256" w:rsidRPr="00DB0FA7" w:rsidRDefault="00645256" w:rsidP="003519F0">
            <w:pPr>
              <w:pStyle w:val="RomanNumerials"/>
              <w:numPr>
                <w:ilvl w:val="0"/>
                <w:numId w:val="2"/>
              </w:numPr>
              <w:spacing w:before="120" w:after="120"/>
              <w:rPr>
                <w:rFonts w:ascii="Arial" w:hAnsi="Arial" w:cs="Arial"/>
                <w:bCs/>
              </w:rPr>
            </w:pPr>
            <w:r w:rsidRPr="00DB0FA7">
              <w:rPr>
                <w:rFonts w:ascii="Arial" w:hAnsi="Arial" w:cs="Arial"/>
                <w:b/>
                <w:bCs/>
              </w:rPr>
              <w:t>Background to use for the indication(s), including licence status:</w:t>
            </w:r>
          </w:p>
          <w:p w:rsidR="00676B29" w:rsidRPr="00676B29" w:rsidRDefault="00B23DF0" w:rsidP="00507044">
            <w:pPr>
              <w:spacing w:line="276" w:lineRule="auto"/>
              <w:ind w:left="360"/>
              <w:rPr>
                <w:rFonts w:cs="Arial"/>
                <w:szCs w:val="20"/>
              </w:rPr>
            </w:pPr>
            <w:r w:rsidRPr="00B23DF0">
              <w:rPr>
                <w:szCs w:val="20"/>
              </w:rPr>
              <w:t xml:space="preserve">Sulfasalazine </w:t>
            </w:r>
            <w:r w:rsidR="003D378F">
              <w:rPr>
                <w:szCs w:val="20"/>
              </w:rPr>
              <w:t>EC (enteric coated</w:t>
            </w:r>
            <w:r w:rsidRPr="00B23DF0">
              <w:rPr>
                <w:szCs w:val="20"/>
              </w:rPr>
              <w:t>)</w:t>
            </w:r>
            <w:r w:rsidR="003D378F">
              <w:rPr>
                <w:szCs w:val="20"/>
              </w:rPr>
              <w:t xml:space="preserve"> tablet</w:t>
            </w:r>
            <w:r w:rsidRPr="00B23DF0">
              <w:rPr>
                <w:szCs w:val="20"/>
              </w:rPr>
              <w:t xml:space="preserve"> is a disease modifying anti-rheumatic drug (DMARD). It has a marketing authorisation for the treatment of rheumatoid arthritis.  Unlicensed indications include ankylosing spondylitis, psoriatic arthritis and </w:t>
            </w:r>
            <w:proofErr w:type="spellStart"/>
            <w:r w:rsidRPr="00B23DF0">
              <w:rPr>
                <w:szCs w:val="20"/>
              </w:rPr>
              <w:t>spondyloarthropathy</w:t>
            </w:r>
            <w:proofErr w:type="spellEnd"/>
            <w:r w:rsidRPr="00B23DF0">
              <w:rPr>
                <w:szCs w:val="20"/>
              </w:rPr>
              <w:t>.  A significant body of evidence exists for its use in the other indications outlined.</w:t>
            </w:r>
          </w:p>
        </w:tc>
      </w:tr>
      <w:tr w:rsidR="00645256" w:rsidRPr="00DB0FA7" w:rsidTr="00507044">
        <w:trPr>
          <w:trHeight w:val="473"/>
        </w:trPr>
        <w:tc>
          <w:tcPr>
            <w:tcW w:w="9134" w:type="dxa"/>
            <w:shd w:val="clear" w:color="auto" w:fill="auto"/>
          </w:tcPr>
          <w:p w:rsidR="003519F0" w:rsidRPr="00B23DF0" w:rsidRDefault="00645256" w:rsidP="004C1A79">
            <w:pPr>
              <w:pStyle w:val="RomanNumerials"/>
              <w:numPr>
                <w:ilvl w:val="0"/>
                <w:numId w:val="2"/>
              </w:numPr>
              <w:spacing w:before="120" w:after="120"/>
              <w:rPr>
                <w:rFonts w:ascii="Arial" w:hAnsi="Arial" w:cs="Arial"/>
                <w:b/>
                <w:bCs/>
              </w:rPr>
            </w:pPr>
            <w:r w:rsidRPr="00B23DF0">
              <w:rPr>
                <w:rFonts w:ascii="Arial" w:hAnsi="Arial" w:cs="Arial"/>
                <w:b/>
                <w:bCs/>
              </w:rPr>
              <w:t>Dose &amp; administration:</w:t>
            </w:r>
          </w:p>
          <w:p w:rsidR="00B23DF0" w:rsidRPr="00B23DF0" w:rsidRDefault="00B23DF0" w:rsidP="00260B7E">
            <w:pPr>
              <w:spacing w:line="276" w:lineRule="auto"/>
              <w:ind w:left="360"/>
              <w:rPr>
                <w:szCs w:val="20"/>
              </w:rPr>
            </w:pPr>
            <w:r w:rsidRPr="00B23DF0">
              <w:rPr>
                <w:szCs w:val="20"/>
              </w:rPr>
              <w:t xml:space="preserve">WEEK 1: 500mg each morning. </w:t>
            </w:r>
          </w:p>
          <w:p w:rsidR="00B23DF0" w:rsidRPr="00B23DF0" w:rsidRDefault="00B23DF0" w:rsidP="00260B7E">
            <w:pPr>
              <w:spacing w:line="276" w:lineRule="auto"/>
              <w:ind w:left="360"/>
              <w:rPr>
                <w:szCs w:val="20"/>
              </w:rPr>
            </w:pPr>
            <w:r w:rsidRPr="00B23DF0">
              <w:rPr>
                <w:szCs w:val="20"/>
              </w:rPr>
              <w:t xml:space="preserve">WEEK 2: 500mg each morning and 500mg each evening. </w:t>
            </w:r>
          </w:p>
          <w:p w:rsidR="00B23DF0" w:rsidRPr="00B23DF0" w:rsidRDefault="00B23DF0" w:rsidP="00260B7E">
            <w:pPr>
              <w:spacing w:line="276" w:lineRule="auto"/>
              <w:ind w:left="360"/>
              <w:rPr>
                <w:szCs w:val="20"/>
              </w:rPr>
            </w:pPr>
            <w:r w:rsidRPr="00B23DF0">
              <w:rPr>
                <w:szCs w:val="20"/>
              </w:rPr>
              <w:t xml:space="preserve">WEEK 3: 1g each morning and 500mg each evening. </w:t>
            </w:r>
          </w:p>
          <w:p w:rsidR="00B23DF0" w:rsidRPr="00B23DF0" w:rsidRDefault="00B23DF0" w:rsidP="00260B7E">
            <w:pPr>
              <w:spacing w:line="276" w:lineRule="auto"/>
              <w:ind w:left="360"/>
              <w:rPr>
                <w:szCs w:val="20"/>
              </w:rPr>
            </w:pPr>
            <w:r w:rsidRPr="00B23DF0">
              <w:rPr>
                <w:szCs w:val="20"/>
              </w:rPr>
              <w:t xml:space="preserve">WEEK 4: 1g each morning and 1g each evening. </w:t>
            </w:r>
          </w:p>
          <w:p w:rsidR="00B23DF0" w:rsidRDefault="00B23DF0" w:rsidP="00260B7E">
            <w:pPr>
              <w:spacing w:line="276" w:lineRule="auto"/>
              <w:ind w:left="360"/>
              <w:rPr>
                <w:szCs w:val="20"/>
              </w:rPr>
            </w:pPr>
            <w:r w:rsidRPr="00B23DF0">
              <w:rPr>
                <w:szCs w:val="20"/>
              </w:rPr>
              <w:t xml:space="preserve">Thereafter continue with 1g twice a day. </w:t>
            </w:r>
          </w:p>
          <w:p w:rsidR="00260B7E" w:rsidRDefault="00B23DF0" w:rsidP="00260B7E">
            <w:pPr>
              <w:spacing w:line="276" w:lineRule="auto"/>
              <w:ind w:left="360"/>
              <w:rPr>
                <w:szCs w:val="20"/>
              </w:rPr>
            </w:pPr>
            <w:r w:rsidRPr="00B23DF0">
              <w:rPr>
                <w:szCs w:val="20"/>
              </w:rPr>
              <w:t xml:space="preserve">Occasionally doses of up to 3g per day may be prescribed. </w:t>
            </w:r>
          </w:p>
          <w:p w:rsidR="00B23DF0" w:rsidRPr="00507044" w:rsidRDefault="00B23DF0" w:rsidP="00507044">
            <w:pPr>
              <w:spacing w:line="276" w:lineRule="auto"/>
              <w:ind w:left="360"/>
              <w:rPr>
                <w:szCs w:val="20"/>
              </w:rPr>
            </w:pPr>
            <w:r w:rsidRPr="00B23DF0">
              <w:rPr>
                <w:szCs w:val="20"/>
              </w:rPr>
              <w:t xml:space="preserve">It may be between 6 to 12 weeks before a marked effect </w:t>
            </w:r>
            <w:proofErr w:type="gramStart"/>
            <w:r w:rsidRPr="00B23DF0">
              <w:rPr>
                <w:szCs w:val="20"/>
              </w:rPr>
              <w:t>is seen</w:t>
            </w:r>
            <w:proofErr w:type="gramEnd"/>
            <w:r w:rsidRPr="00B23DF0">
              <w:rPr>
                <w:szCs w:val="20"/>
              </w:rPr>
              <w:t>.</w:t>
            </w:r>
          </w:p>
        </w:tc>
      </w:tr>
      <w:tr w:rsidR="00645256" w:rsidRPr="00CB24CF" w:rsidTr="00507044">
        <w:trPr>
          <w:trHeight w:val="473"/>
        </w:trPr>
        <w:tc>
          <w:tcPr>
            <w:tcW w:w="9134" w:type="dxa"/>
            <w:shd w:val="clear" w:color="auto" w:fill="auto"/>
          </w:tcPr>
          <w:p w:rsidR="00645256" w:rsidRPr="00284D78" w:rsidRDefault="00645256" w:rsidP="00507044">
            <w:pPr>
              <w:pStyle w:val="RomanNumerials"/>
              <w:numPr>
                <w:ilvl w:val="0"/>
                <w:numId w:val="2"/>
              </w:numPr>
              <w:spacing w:before="120" w:after="120"/>
              <w:rPr>
                <w:rFonts w:ascii="Arial" w:hAnsi="Arial" w:cs="Arial"/>
                <w:b/>
                <w:bCs/>
              </w:rPr>
            </w:pPr>
            <w:r w:rsidRPr="00284D78">
              <w:rPr>
                <w:rFonts w:ascii="Arial" w:hAnsi="Arial" w:cs="Arial"/>
                <w:b/>
                <w:bCs/>
              </w:rPr>
              <w:t>Cautions:</w:t>
            </w:r>
          </w:p>
          <w:p w:rsidR="00645256" w:rsidRDefault="0067252B" w:rsidP="0067252B">
            <w:pPr>
              <w:pStyle w:val="RomanNumerials"/>
              <w:spacing w:before="120" w:after="120"/>
              <w:ind w:left="0"/>
              <w:rPr>
                <w:rFonts w:ascii="Arial" w:hAnsi="Arial" w:cs="Arial"/>
              </w:rPr>
            </w:pPr>
            <w:r w:rsidRPr="00284D78">
              <w:rPr>
                <w:rFonts w:ascii="Arial" w:hAnsi="Arial" w:cs="Arial"/>
              </w:rPr>
              <w:t>This list is not exhaustive; refer to the Summary of Product Characteristics (SPC) or BNF for further guidance.</w:t>
            </w:r>
          </w:p>
          <w:p w:rsidR="005C5EA7" w:rsidRPr="005C5EA7" w:rsidRDefault="005C5EA7" w:rsidP="00507044">
            <w:pPr>
              <w:pStyle w:val="ListParagraph"/>
              <w:numPr>
                <w:ilvl w:val="0"/>
                <w:numId w:val="35"/>
              </w:numPr>
              <w:ind w:left="743"/>
            </w:pPr>
            <w:r>
              <w:rPr>
                <w:rFonts w:cs="Arial"/>
                <w:color w:val="000000"/>
                <w:szCs w:val="20"/>
                <w:shd w:val="clear" w:color="auto" w:fill="FFFFFF"/>
              </w:rPr>
              <w:t xml:space="preserve">Sulfasalazine should not be given to patients with impaired hepatic or renal function or with blood </w:t>
            </w:r>
            <w:proofErr w:type="spellStart"/>
            <w:r>
              <w:rPr>
                <w:rFonts w:cs="Arial"/>
                <w:color w:val="000000"/>
                <w:szCs w:val="20"/>
                <w:shd w:val="clear" w:color="auto" w:fill="FFFFFF"/>
              </w:rPr>
              <w:t>dyscrasias</w:t>
            </w:r>
            <w:proofErr w:type="spellEnd"/>
            <w:r>
              <w:rPr>
                <w:rFonts w:cs="Arial"/>
                <w:color w:val="000000"/>
                <w:szCs w:val="20"/>
                <w:shd w:val="clear" w:color="auto" w:fill="FFFFFF"/>
              </w:rPr>
              <w:t>, unless the potential benefit outweighs the risk.</w:t>
            </w:r>
          </w:p>
          <w:p w:rsidR="005C5EA7" w:rsidRDefault="005C5EA7" w:rsidP="00507044">
            <w:pPr>
              <w:pStyle w:val="ListParagraph"/>
              <w:numPr>
                <w:ilvl w:val="0"/>
                <w:numId w:val="35"/>
              </w:numPr>
              <w:ind w:left="743"/>
            </w:pPr>
            <w:r>
              <w:t>Patients with severe allergy or bronchial asthma.</w:t>
            </w:r>
          </w:p>
          <w:p w:rsidR="005C5EA7" w:rsidRPr="009C6497" w:rsidRDefault="005C5EA7" w:rsidP="00507044">
            <w:pPr>
              <w:pStyle w:val="ListParagraph"/>
              <w:numPr>
                <w:ilvl w:val="0"/>
                <w:numId w:val="35"/>
              </w:numPr>
              <w:ind w:left="743"/>
            </w:pPr>
            <w:r w:rsidRPr="009C6497">
              <w:t>Glucose-6-phosphate dehydrogenase deficiency (G6PD): May cause haemolysis. Seek specialist advice</w:t>
            </w:r>
          </w:p>
          <w:p w:rsidR="005C5EA7" w:rsidRDefault="005C5EA7" w:rsidP="00507044">
            <w:pPr>
              <w:pStyle w:val="ListParagraph"/>
              <w:numPr>
                <w:ilvl w:val="0"/>
                <w:numId w:val="35"/>
              </w:numPr>
              <w:ind w:left="743"/>
            </w:pPr>
            <w:r w:rsidRPr="009C6497">
              <w:t>Slow–</w:t>
            </w:r>
            <w:proofErr w:type="spellStart"/>
            <w:r w:rsidRPr="009C6497">
              <w:t>acetylators</w:t>
            </w:r>
            <w:proofErr w:type="spellEnd"/>
            <w:r w:rsidRPr="009C6497">
              <w:t xml:space="preserve"> of the drug: May cause drug-induced lupus-like syndrome. It is not necessary to assess </w:t>
            </w:r>
            <w:proofErr w:type="spellStart"/>
            <w:r w:rsidRPr="009C6497">
              <w:t>acetylator</w:t>
            </w:r>
            <w:proofErr w:type="spellEnd"/>
            <w:r w:rsidRPr="009C6497">
              <w:t xml:space="preserve"> phenotype.</w:t>
            </w:r>
          </w:p>
          <w:p w:rsidR="005C5EA7" w:rsidRPr="009C6497" w:rsidRDefault="005C5EA7" w:rsidP="00507044">
            <w:pPr>
              <w:pStyle w:val="ListParagraph"/>
              <w:numPr>
                <w:ilvl w:val="0"/>
                <w:numId w:val="35"/>
              </w:numPr>
              <w:ind w:left="743"/>
            </w:pPr>
            <w:r>
              <w:t xml:space="preserve">May cause </w:t>
            </w:r>
            <w:proofErr w:type="spellStart"/>
            <w:r>
              <w:t>oligospermia</w:t>
            </w:r>
            <w:proofErr w:type="spellEnd"/>
            <w:r>
              <w:t xml:space="preserve"> and infertility in men. Discontinuation of the medication usually reverses these effects within 2 to 3 months.</w:t>
            </w:r>
          </w:p>
          <w:p w:rsidR="005C5EA7" w:rsidRPr="009C6497" w:rsidRDefault="005C5EA7" w:rsidP="00507044">
            <w:pPr>
              <w:pStyle w:val="ListParagraph"/>
              <w:numPr>
                <w:ilvl w:val="0"/>
                <w:numId w:val="35"/>
              </w:numPr>
              <w:ind w:left="743"/>
            </w:pPr>
            <w:r w:rsidRPr="009C6497">
              <w:t>There are NO contra-</w:t>
            </w:r>
            <w:r>
              <w:t>indications to use in pregnancy and lactation</w:t>
            </w:r>
            <w:r w:rsidR="00DE07DA" w:rsidRPr="00DE07DA">
              <w:rPr>
                <w:vertAlign w:val="superscript"/>
              </w:rPr>
              <w:t>7</w:t>
            </w:r>
            <w:r>
              <w:t>, discuss with specialist</w:t>
            </w:r>
            <w:r w:rsidRPr="00DE07DA">
              <w:rPr>
                <w:vertAlign w:val="superscript"/>
              </w:rPr>
              <w:t>.</w:t>
            </w:r>
          </w:p>
          <w:p w:rsidR="005C5EA7" w:rsidRPr="009C6497" w:rsidRDefault="005C5EA7" w:rsidP="005C5EA7">
            <w:pPr>
              <w:pStyle w:val="ListParagraph"/>
              <w:numPr>
                <w:ilvl w:val="1"/>
                <w:numId w:val="35"/>
              </w:numPr>
            </w:pPr>
            <w:r w:rsidRPr="009C6497">
              <w:t>Doses ≤2</w:t>
            </w:r>
            <w:r>
              <w:t xml:space="preserve"> </w:t>
            </w:r>
            <w:r w:rsidRPr="009C6497">
              <w:t>g/day are recommended</w:t>
            </w:r>
          </w:p>
          <w:p w:rsidR="005C5EA7" w:rsidRPr="00507044" w:rsidRDefault="005C5EA7" w:rsidP="00507044">
            <w:pPr>
              <w:pStyle w:val="ListParagraph"/>
              <w:numPr>
                <w:ilvl w:val="1"/>
                <w:numId w:val="35"/>
              </w:numPr>
              <w:rPr>
                <w:rFonts w:cs="Arial"/>
              </w:rPr>
            </w:pPr>
            <w:r w:rsidRPr="009C6497">
              <w:t xml:space="preserve">Folic acid should be prescribed to those wanting to conceive and throughout the pregnancy, particularly those with G6PD deficiency. Folic acid and sulfasalazine </w:t>
            </w:r>
            <w:proofErr w:type="gramStart"/>
            <w:r w:rsidRPr="009C6497">
              <w:t>should be taken</w:t>
            </w:r>
            <w:proofErr w:type="gramEnd"/>
            <w:r w:rsidRPr="009C6497">
              <w:t xml:space="preserve"> 2-4 hours apart.</w:t>
            </w:r>
          </w:p>
        </w:tc>
      </w:tr>
      <w:tr w:rsidR="00645256" w:rsidRPr="00266B2E" w:rsidTr="00507044">
        <w:trPr>
          <w:trHeight w:val="473"/>
        </w:trPr>
        <w:tc>
          <w:tcPr>
            <w:tcW w:w="9134" w:type="dxa"/>
            <w:shd w:val="clear" w:color="auto" w:fill="auto"/>
          </w:tcPr>
          <w:p w:rsidR="00645256" w:rsidRPr="00284D78" w:rsidRDefault="00645256" w:rsidP="00507044">
            <w:pPr>
              <w:pStyle w:val="RomanNumerials"/>
              <w:numPr>
                <w:ilvl w:val="0"/>
                <w:numId w:val="2"/>
              </w:numPr>
              <w:spacing w:before="120" w:after="120"/>
              <w:rPr>
                <w:rFonts w:ascii="Arial" w:hAnsi="Arial" w:cs="Arial"/>
                <w:b/>
                <w:bCs/>
              </w:rPr>
            </w:pPr>
            <w:r w:rsidRPr="00284D78">
              <w:rPr>
                <w:rFonts w:ascii="Arial" w:hAnsi="Arial" w:cs="Arial"/>
                <w:b/>
                <w:bCs/>
              </w:rPr>
              <w:t>Contraindications:</w:t>
            </w:r>
          </w:p>
          <w:p w:rsidR="005C5EA7" w:rsidRDefault="005C5EA7" w:rsidP="005C5EA7">
            <w:pPr>
              <w:pStyle w:val="NormalWeb"/>
              <w:numPr>
                <w:ilvl w:val="0"/>
                <w:numId w:val="36"/>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Patients with a known hypersensitivity to sulfasalazine, its metabolites or any of the excipients as well as </w:t>
            </w:r>
            <w:proofErr w:type="spellStart"/>
            <w:r>
              <w:rPr>
                <w:rFonts w:ascii="Arial" w:hAnsi="Arial" w:cs="Arial"/>
                <w:color w:val="000000"/>
                <w:sz w:val="20"/>
                <w:szCs w:val="20"/>
              </w:rPr>
              <w:t>sulfonamides</w:t>
            </w:r>
            <w:proofErr w:type="spellEnd"/>
            <w:r>
              <w:rPr>
                <w:rFonts w:ascii="Arial" w:hAnsi="Arial" w:cs="Arial"/>
                <w:color w:val="000000"/>
                <w:sz w:val="20"/>
                <w:szCs w:val="20"/>
              </w:rPr>
              <w:t xml:space="preserve"> or salicylates.</w:t>
            </w:r>
          </w:p>
          <w:p w:rsidR="005C5EA7" w:rsidRDefault="005C5EA7" w:rsidP="005C5EA7">
            <w:pPr>
              <w:pStyle w:val="NormalWeb"/>
              <w:numPr>
                <w:ilvl w:val="0"/>
                <w:numId w:val="36"/>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Patients with porphyria.</w:t>
            </w:r>
          </w:p>
          <w:p w:rsidR="005C5EA7" w:rsidRPr="00507044" w:rsidRDefault="0067252B" w:rsidP="00507044">
            <w:pPr>
              <w:pStyle w:val="RomanNumerials"/>
              <w:spacing w:before="120" w:after="120"/>
              <w:ind w:left="0"/>
              <w:rPr>
                <w:rFonts w:ascii="Arial" w:hAnsi="Arial" w:cs="Arial"/>
              </w:rPr>
            </w:pPr>
            <w:r w:rsidRPr="00284D78">
              <w:rPr>
                <w:rFonts w:ascii="Arial" w:hAnsi="Arial" w:cs="Arial"/>
              </w:rPr>
              <w:t>This list is not exhaustive; refer to the Summar</w:t>
            </w:r>
            <w:r w:rsidR="00C76F3C">
              <w:rPr>
                <w:rFonts w:ascii="Arial" w:hAnsi="Arial" w:cs="Arial"/>
              </w:rPr>
              <w:t>y of Product Characteristics (S</w:t>
            </w:r>
            <w:r w:rsidRPr="00284D78">
              <w:rPr>
                <w:rFonts w:ascii="Arial" w:hAnsi="Arial" w:cs="Arial"/>
              </w:rPr>
              <w:t>PC) or BNF for further guidance.</w:t>
            </w:r>
          </w:p>
        </w:tc>
      </w:tr>
      <w:tr w:rsidR="00645256" w:rsidRPr="00266B2E" w:rsidTr="00C454C7">
        <w:trPr>
          <w:trHeight w:val="473"/>
        </w:trPr>
        <w:tc>
          <w:tcPr>
            <w:tcW w:w="9134" w:type="dxa"/>
            <w:shd w:val="clear" w:color="auto" w:fill="auto"/>
          </w:tcPr>
          <w:p w:rsidR="00645256" w:rsidRPr="00266B2E" w:rsidRDefault="00645256" w:rsidP="00507044">
            <w:pPr>
              <w:pStyle w:val="RomanNumerials"/>
              <w:numPr>
                <w:ilvl w:val="0"/>
                <w:numId w:val="2"/>
              </w:numPr>
              <w:spacing w:before="120" w:after="120"/>
              <w:rPr>
                <w:rFonts w:ascii="Arial" w:hAnsi="Arial" w:cs="Arial"/>
                <w:b/>
                <w:bCs/>
              </w:rPr>
            </w:pPr>
            <w:r w:rsidRPr="00266B2E">
              <w:rPr>
                <w:rFonts w:ascii="Arial" w:hAnsi="Arial" w:cs="Arial"/>
                <w:b/>
                <w:bCs/>
              </w:rPr>
              <w:t>Side effects:</w:t>
            </w:r>
          </w:p>
          <w:p w:rsidR="00380FE0" w:rsidRDefault="00DE07DA" w:rsidP="00507044">
            <w:pPr>
              <w:pStyle w:val="caj1"/>
              <w:spacing w:before="120" w:after="120"/>
              <w:rPr>
                <w:rFonts w:ascii="Arial" w:hAnsi="Arial" w:cs="Arial"/>
                <w:sz w:val="20"/>
                <w:szCs w:val="20"/>
              </w:rPr>
            </w:pPr>
            <w:r>
              <w:rPr>
                <w:rFonts w:ascii="Arial" w:hAnsi="Arial" w:cs="Arial"/>
                <w:sz w:val="20"/>
                <w:szCs w:val="20"/>
              </w:rPr>
              <w:t>Side effects include</w:t>
            </w:r>
            <w:r w:rsidR="00380FE0" w:rsidRPr="009A6602">
              <w:rPr>
                <w:rFonts w:ascii="Arial" w:hAnsi="Arial" w:cs="Arial"/>
                <w:sz w:val="20"/>
                <w:szCs w:val="20"/>
              </w:rPr>
              <w:t xml:space="preserve">:  </w:t>
            </w:r>
          </w:p>
          <w:p w:rsidR="00DE07DA" w:rsidRPr="00DE07DA" w:rsidRDefault="00DE07DA" w:rsidP="005C5EA7">
            <w:pPr>
              <w:pStyle w:val="ListParagraph"/>
              <w:numPr>
                <w:ilvl w:val="0"/>
                <w:numId w:val="37"/>
              </w:numPr>
              <w:rPr>
                <w:rFonts w:cs="Arial"/>
              </w:rPr>
            </w:pPr>
            <w:r>
              <w:t>N</w:t>
            </w:r>
            <w:r w:rsidR="005C5EA7" w:rsidRPr="009C6497">
              <w:t xml:space="preserve">ausea, diarrhoea, dizziness, headaches and rashes.  </w:t>
            </w:r>
          </w:p>
          <w:p w:rsidR="005C5EA7" w:rsidRPr="00DE07DA" w:rsidRDefault="005C5EA7" w:rsidP="005C5EA7">
            <w:pPr>
              <w:pStyle w:val="ListParagraph"/>
              <w:numPr>
                <w:ilvl w:val="0"/>
                <w:numId w:val="37"/>
              </w:numPr>
              <w:rPr>
                <w:rFonts w:cs="Arial"/>
              </w:rPr>
            </w:pPr>
            <w:r w:rsidRPr="009C6497">
              <w:t xml:space="preserve">Uncommonly, leucopoenia, anaemia, liver function disturbance, hypersensitivity reactions </w:t>
            </w:r>
            <w:r>
              <w:t>and</w:t>
            </w:r>
            <w:r w:rsidRPr="009C6497">
              <w:t xml:space="preserve"> </w:t>
            </w:r>
            <w:proofErr w:type="spellStart"/>
            <w:r w:rsidRPr="009C6497">
              <w:t>oligospermia</w:t>
            </w:r>
            <w:proofErr w:type="spellEnd"/>
          </w:p>
          <w:p w:rsidR="005C5EA7" w:rsidRPr="005C5EA7" w:rsidRDefault="005C5EA7" w:rsidP="005C5EA7">
            <w:pPr>
              <w:pStyle w:val="ListParagraph"/>
              <w:numPr>
                <w:ilvl w:val="0"/>
                <w:numId w:val="37"/>
              </w:numPr>
              <w:rPr>
                <w:rFonts w:cs="Arial"/>
              </w:rPr>
            </w:pPr>
            <w:r w:rsidRPr="005C5EA7">
              <w:rPr>
                <w:rFonts w:cs="Arial"/>
                <w:szCs w:val="20"/>
              </w:rPr>
              <w:t>Sulfasalazine can cause a yellow/brown discolouration of urine and contact lenses.</w:t>
            </w:r>
          </w:p>
          <w:p w:rsidR="00507044" w:rsidRDefault="00507044" w:rsidP="00507044">
            <w:pPr>
              <w:pStyle w:val="caj1"/>
              <w:spacing w:line="276" w:lineRule="auto"/>
              <w:rPr>
                <w:rFonts w:ascii="Arial" w:hAnsi="Arial" w:cs="Arial"/>
                <w:color w:val="000000"/>
                <w:sz w:val="20"/>
                <w:szCs w:val="20"/>
                <w:shd w:val="clear" w:color="auto" w:fill="FFFFFF"/>
              </w:rPr>
            </w:pPr>
          </w:p>
          <w:p w:rsidR="005C5EA7" w:rsidRDefault="005C5EA7" w:rsidP="00507044">
            <w:pPr>
              <w:pStyle w:val="caj1"/>
              <w:spacing w:line="276" w:lineRule="auto"/>
              <w:rPr>
                <w:rFonts w:ascii="Arial" w:hAnsi="Arial" w:cs="Arial"/>
                <w:sz w:val="20"/>
                <w:szCs w:val="20"/>
              </w:rPr>
            </w:pPr>
            <w:r>
              <w:rPr>
                <w:rFonts w:ascii="Arial" w:hAnsi="Arial" w:cs="Arial"/>
                <w:color w:val="000000"/>
                <w:sz w:val="20"/>
                <w:szCs w:val="20"/>
                <w:shd w:val="clear" w:color="auto" w:fill="FFFFFF"/>
              </w:rPr>
              <w:lastRenderedPageBreak/>
              <w:t xml:space="preserve">The patient should also be counselled to report immediately with any sore throat, fever, malaise, pallor, purpura, jaundice or unexpected non-specific illness during sulfasalazine treatment, this </w:t>
            </w:r>
            <w:proofErr w:type="gramStart"/>
            <w:r>
              <w:rPr>
                <w:rFonts w:ascii="Arial" w:hAnsi="Arial" w:cs="Arial"/>
                <w:color w:val="000000"/>
                <w:sz w:val="20"/>
                <w:szCs w:val="20"/>
                <w:shd w:val="clear" w:color="auto" w:fill="FFFFFF"/>
              </w:rPr>
              <w:t>may</w:t>
            </w:r>
            <w:proofErr w:type="gramEnd"/>
            <w:r>
              <w:rPr>
                <w:rFonts w:ascii="Arial" w:hAnsi="Arial" w:cs="Arial"/>
                <w:color w:val="000000"/>
                <w:sz w:val="20"/>
                <w:szCs w:val="20"/>
                <w:shd w:val="clear" w:color="auto" w:fill="FFFFFF"/>
              </w:rPr>
              <w:t xml:space="preserve"> indicate myelosuppression, haemolysis or </w:t>
            </w:r>
            <w:proofErr w:type="spellStart"/>
            <w:r>
              <w:rPr>
                <w:rFonts w:ascii="Arial" w:hAnsi="Arial" w:cs="Arial"/>
                <w:color w:val="000000"/>
                <w:sz w:val="20"/>
                <w:szCs w:val="20"/>
                <w:shd w:val="clear" w:color="auto" w:fill="FFFFFF"/>
              </w:rPr>
              <w:t>hepatoxicity</w:t>
            </w:r>
            <w:proofErr w:type="spellEnd"/>
            <w:r>
              <w:rPr>
                <w:rFonts w:ascii="Arial" w:hAnsi="Arial" w:cs="Arial"/>
                <w:color w:val="000000"/>
                <w:sz w:val="20"/>
                <w:szCs w:val="20"/>
                <w:shd w:val="clear" w:color="auto" w:fill="FFFFFF"/>
              </w:rPr>
              <w:t>. Treatment should be stopped immediately while awaiting the results of blood tests.</w:t>
            </w:r>
          </w:p>
          <w:p w:rsidR="00CB4CD3" w:rsidRDefault="000F35D1" w:rsidP="00507044">
            <w:pPr>
              <w:pStyle w:val="caj1"/>
              <w:spacing w:line="276" w:lineRule="auto"/>
              <w:rPr>
                <w:rFonts w:ascii="Arial" w:hAnsi="Arial" w:cs="Arial"/>
                <w:sz w:val="20"/>
                <w:szCs w:val="20"/>
              </w:rPr>
            </w:pPr>
            <w:r>
              <w:rPr>
                <w:rFonts w:ascii="Arial" w:hAnsi="Arial" w:cs="Arial"/>
                <w:sz w:val="20"/>
                <w:szCs w:val="20"/>
              </w:rPr>
              <w:t>The enteric coated sulf</w:t>
            </w:r>
            <w:r w:rsidR="00CB4CD3">
              <w:rPr>
                <w:rFonts w:ascii="Arial" w:hAnsi="Arial" w:cs="Arial"/>
                <w:sz w:val="20"/>
                <w:szCs w:val="20"/>
              </w:rPr>
              <w:t>asalazine should be prescribed to minimise gastric side effects.</w:t>
            </w:r>
          </w:p>
          <w:p w:rsidR="00FA18CB" w:rsidRDefault="00FA18CB" w:rsidP="00507044">
            <w:pPr>
              <w:spacing w:line="276" w:lineRule="auto"/>
              <w:ind w:right="-143"/>
            </w:pPr>
            <w:r>
              <w:rPr>
                <w:rFonts w:cs="Arial"/>
                <w:color w:val="000000"/>
                <w:sz w:val="19"/>
                <w:szCs w:val="19"/>
                <w:shd w:val="clear" w:color="auto" w:fill="FFFFFF"/>
              </w:rPr>
              <w:t xml:space="preserve">Oral sulfasalazine inhibits the absorption and metabolism of folic acid and may cause folic acid deficiency, potentially resulting in serious blood disorders (e.g. </w:t>
            </w:r>
            <w:proofErr w:type="spellStart"/>
            <w:r>
              <w:rPr>
                <w:rFonts w:cs="Arial"/>
                <w:color w:val="000000"/>
                <w:sz w:val="19"/>
                <w:szCs w:val="19"/>
                <w:shd w:val="clear" w:color="auto" w:fill="FFFFFF"/>
              </w:rPr>
              <w:t>macrocytosis</w:t>
            </w:r>
            <w:proofErr w:type="spellEnd"/>
            <w:r>
              <w:rPr>
                <w:rFonts w:cs="Arial"/>
                <w:color w:val="000000"/>
                <w:sz w:val="19"/>
                <w:szCs w:val="19"/>
                <w:shd w:val="clear" w:color="auto" w:fill="FFFFFF"/>
              </w:rPr>
              <w:t xml:space="preserve"> and pancytopenia), this can be normalised by administration of folic acid.  Concurrent folic acid should be administered at a different time of day to sulfasalazine.</w:t>
            </w:r>
          </w:p>
          <w:p w:rsidR="006F63A0" w:rsidRPr="00452CBB" w:rsidRDefault="00380FE0" w:rsidP="00507044">
            <w:pPr>
              <w:pStyle w:val="caj1"/>
              <w:spacing w:line="276" w:lineRule="auto"/>
              <w:rPr>
                <w:rFonts w:ascii="Arial" w:hAnsi="Arial" w:cs="Arial"/>
                <w:sz w:val="20"/>
                <w:szCs w:val="20"/>
              </w:rPr>
            </w:pPr>
            <w:r w:rsidRPr="009A6602">
              <w:rPr>
                <w:rFonts w:ascii="Arial" w:hAnsi="Arial" w:cs="Arial"/>
                <w:sz w:val="20"/>
                <w:szCs w:val="20"/>
              </w:rPr>
              <w:t>This list is not exhaustive; refer to the Summary of Product Characteristics (SPC) or BNF for further guidance.</w:t>
            </w:r>
          </w:p>
        </w:tc>
      </w:tr>
      <w:tr w:rsidR="00645256" w:rsidRPr="00990003" w:rsidTr="00C454C7">
        <w:trPr>
          <w:trHeight w:val="473"/>
        </w:trPr>
        <w:tc>
          <w:tcPr>
            <w:tcW w:w="9134" w:type="dxa"/>
            <w:shd w:val="clear" w:color="auto" w:fill="auto"/>
          </w:tcPr>
          <w:p w:rsidR="006F63A0" w:rsidRDefault="006F63A0" w:rsidP="00507044">
            <w:pPr>
              <w:pStyle w:val="RomanNumerials"/>
              <w:numPr>
                <w:ilvl w:val="0"/>
                <w:numId w:val="2"/>
              </w:numPr>
              <w:spacing w:before="120"/>
              <w:rPr>
                <w:rFonts w:ascii="Arial" w:hAnsi="Arial" w:cs="Arial"/>
                <w:b/>
                <w:bCs/>
              </w:rPr>
            </w:pPr>
            <w:r>
              <w:rPr>
                <w:rFonts w:ascii="Arial" w:hAnsi="Arial" w:cs="Arial"/>
                <w:b/>
                <w:bCs/>
              </w:rPr>
              <w:lastRenderedPageBreak/>
              <w:t>Notable Drug Interactions</w:t>
            </w:r>
          </w:p>
          <w:p w:rsidR="006F63A0" w:rsidRPr="00CB4CD3" w:rsidRDefault="006F63A0" w:rsidP="00CB4CD3">
            <w:pPr>
              <w:spacing w:line="276" w:lineRule="auto"/>
              <w:ind w:right="-143"/>
              <w:rPr>
                <w:rFonts w:cs="Arial"/>
                <w:szCs w:val="20"/>
              </w:rPr>
            </w:pPr>
            <w:r w:rsidRPr="00CB4CD3">
              <w:rPr>
                <w:rFonts w:cs="Arial"/>
                <w:szCs w:val="20"/>
              </w:rPr>
              <w:t>Prescribers are advised to check the BNF or ask a pharmacist for advice where required. This is not a comprehensive list</w:t>
            </w:r>
            <w:r w:rsidR="003B2EFA">
              <w:rPr>
                <w:rFonts w:cs="Arial"/>
                <w:szCs w:val="20"/>
              </w:rPr>
              <w:t>.</w:t>
            </w:r>
          </w:p>
          <w:p w:rsidR="00F21EC2" w:rsidRPr="009C6497" w:rsidRDefault="00F21EC2" w:rsidP="00CB4CD3">
            <w:pPr>
              <w:spacing w:line="276" w:lineRule="auto"/>
            </w:pPr>
            <w:r w:rsidRPr="009C6497">
              <w:t xml:space="preserve">Combination therapy with azathioprine or </w:t>
            </w:r>
            <w:proofErr w:type="spellStart"/>
            <w:r w:rsidRPr="009C6497">
              <w:t>mercaptopurine</w:t>
            </w:r>
            <w:proofErr w:type="spellEnd"/>
            <w:r w:rsidRPr="009C6497">
              <w:t xml:space="preserve"> may contribute to bone marrow toxicity.</w:t>
            </w:r>
          </w:p>
          <w:p w:rsidR="00CB4CD3" w:rsidRPr="00507044" w:rsidRDefault="00F21EC2" w:rsidP="00CB4CD3">
            <w:pPr>
              <w:spacing w:line="276" w:lineRule="auto"/>
              <w:ind w:right="-143"/>
            </w:pPr>
            <w:r w:rsidRPr="009C6497">
              <w:t>Cardiac glycosides – possibly reduces the absorption of digoxin</w:t>
            </w:r>
            <w:r w:rsidR="003B2EFA">
              <w:t>.</w:t>
            </w:r>
          </w:p>
          <w:p w:rsidR="006F63A0" w:rsidRPr="006F63A0" w:rsidRDefault="006F63A0" w:rsidP="00507044">
            <w:pPr>
              <w:pStyle w:val="TableParagraph"/>
              <w:tabs>
                <w:tab w:val="left" w:pos="318"/>
              </w:tabs>
              <w:spacing w:before="79" w:line="276" w:lineRule="auto"/>
              <w:ind w:right="-143"/>
              <w:rPr>
                <w:rFonts w:ascii="Arial" w:eastAsia="Arial" w:hAnsi="Arial" w:cs="Arial"/>
                <w:szCs w:val="20"/>
              </w:rPr>
            </w:pPr>
            <w:r w:rsidRPr="006F63A0">
              <w:rPr>
                <w:rFonts w:ascii="Arial" w:hAnsi="Arial" w:cs="Arial"/>
                <w:b/>
                <w:szCs w:val="20"/>
              </w:rPr>
              <w:t>Vaccines</w:t>
            </w:r>
          </w:p>
          <w:p w:rsidR="003B2EFA" w:rsidRPr="00507044" w:rsidRDefault="00DE07DA" w:rsidP="00507044">
            <w:pPr>
              <w:pStyle w:val="ListParagraph"/>
              <w:widowControl w:val="0"/>
              <w:numPr>
                <w:ilvl w:val="0"/>
                <w:numId w:val="41"/>
              </w:numPr>
              <w:tabs>
                <w:tab w:val="left" w:pos="318"/>
              </w:tabs>
              <w:spacing w:line="276" w:lineRule="auto"/>
              <w:ind w:right="-143"/>
              <w:rPr>
                <w:rFonts w:eastAsia="Arial" w:cs="Arial"/>
              </w:rPr>
            </w:pPr>
            <w:r>
              <w:t xml:space="preserve">Live vaccines are not generally </w:t>
            </w:r>
            <w:r w:rsidR="003B2EFA">
              <w:t>a problem with sulfasalazine, if you require further guidance please contact rheumatology team.</w:t>
            </w:r>
          </w:p>
          <w:p w:rsidR="00645256" w:rsidRPr="00990003" w:rsidRDefault="00645256" w:rsidP="00507044">
            <w:pPr>
              <w:pStyle w:val="RomanNumerials"/>
              <w:numPr>
                <w:ilvl w:val="0"/>
                <w:numId w:val="2"/>
              </w:numPr>
              <w:spacing w:before="120"/>
              <w:rPr>
                <w:rFonts w:ascii="Arial" w:hAnsi="Arial" w:cs="Arial"/>
                <w:b/>
                <w:bCs/>
              </w:rPr>
            </w:pPr>
            <w:r w:rsidRPr="00990003">
              <w:rPr>
                <w:rFonts w:ascii="Arial" w:hAnsi="Arial"/>
                <w:b/>
                <w:bCs/>
              </w:rPr>
              <w:t>Criteria for use:</w:t>
            </w:r>
          </w:p>
          <w:p w:rsidR="002835F0" w:rsidRDefault="002835F0" w:rsidP="002835F0">
            <w:pPr>
              <w:spacing w:line="276" w:lineRule="auto"/>
            </w:pPr>
            <w:r>
              <w:t xml:space="preserve">Specialist has initiated and dose stabilised (usually for a minimum 3 months). </w:t>
            </w:r>
          </w:p>
          <w:p w:rsidR="003B2EFA" w:rsidRPr="003B2EFA" w:rsidRDefault="002835F0" w:rsidP="002835F0">
            <w:pPr>
              <w:spacing w:line="276" w:lineRule="auto"/>
            </w:pPr>
            <w:proofErr w:type="gramStart"/>
            <w:r>
              <w:t>GP or Primary Care Prescriber confident to take clinical and legal responsibility for prescribing this medication</w:t>
            </w:r>
            <w:r w:rsidR="003B2EFA">
              <w:t>.</w:t>
            </w:r>
            <w:proofErr w:type="gramEnd"/>
          </w:p>
        </w:tc>
      </w:tr>
      <w:tr w:rsidR="00645256" w:rsidRPr="00266B2E" w:rsidTr="00C454C7">
        <w:trPr>
          <w:trHeight w:val="473"/>
        </w:trPr>
        <w:tc>
          <w:tcPr>
            <w:tcW w:w="9134" w:type="dxa"/>
            <w:shd w:val="clear" w:color="auto" w:fill="auto"/>
          </w:tcPr>
          <w:p w:rsidR="00645256" w:rsidRPr="0041581B" w:rsidRDefault="00645256" w:rsidP="00507044">
            <w:pPr>
              <w:pStyle w:val="RomanNumerials"/>
              <w:numPr>
                <w:ilvl w:val="0"/>
                <w:numId w:val="2"/>
              </w:numPr>
              <w:spacing w:before="120"/>
              <w:rPr>
                <w:rFonts w:ascii="Arial" w:hAnsi="Arial" w:cs="Arial"/>
                <w:b/>
                <w:bCs/>
              </w:rPr>
            </w:pPr>
            <w:r w:rsidRPr="00266B2E">
              <w:rPr>
                <w:rFonts w:ascii="Arial" w:hAnsi="Arial"/>
                <w:b/>
                <w:bCs/>
              </w:rPr>
              <w:t>Any further information (e.g. supporting therapies):</w:t>
            </w:r>
          </w:p>
          <w:p w:rsidR="002835F0" w:rsidRDefault="002835F0" w:rsidP="00507044">
            <w:pPr>
              <w:tabs>
                <w:tab w:val="left" w:pos="318"/>
              </w:tabs>
              <w:spacing w:line="276" w:lineRule="auto"/>
              <w:ind w:right="-143"/>
            </w:pPr>
            <w:r>
              <w:t xml:space="preserve">Sulfasalazine is split by intestinal bacteria to </w:t>
            </w:r>
            <w:proofErr w:type="spellStart"/>
            <w:r>
              <w:t>sulfapyridine</w:t>
            </w:r>
            <w:proofErr w:type="spellEnd"/>
            <w:r>
              <w:t xml:space="preserve"> and 5-aminosalicylate so ADRs to either </w:t>
            </w:r>
            <w:proofErr w:type="spellStart"/>
            <w:r>
              <w:t>sulfonamide</w:t>
            </w:r>
            <w:proofErr w:type="spellEnd"/>
            <w:r>
              <w:t xml:space="preserve"> or salicylate are possible.</w:t>
            </w:r>
          </w:p>
          <w:p w:rsidR="002835F0" w:rsidRPr="00CB4CD3" w:rsidRDefault="002835F0" w:rsidP="00507044">
            <w:pPr>
              <w:tabs>
                <w:tab w:val="left" w:pos="318"/>
              </w:tabs>
              <w:spacing w:line="276" w:lineRule="auto"/>
              <w:ind w:right="-143"/>
              <w:rPr>
                <w:rFonts w:cs="Arial"/>
                <w:szCs w:val="20"/>
              </w:rPr>
            </w:pPr>
            <w:proofErr w:type="spellStart"/>
            <w:r>
              <w:t>Sulfonamides</w:t>
            </w:r>
            <w:proofErr w:type="spellEnd"/>
            <w:r>
              <w:t xml:space="preserve"> bear some chemical similarities to s</w:t>
            </w:r>
            <w:r w:rsidR="00CB4CD3">
              <w:t xml:space="preserve">ome oral hypoglycaemic agents.  </w:t>
            </w:r>
            <w:r>
              <w:t xml:space="preserve"> Patients receiving both sulfasalazine and hypoglycaemic agents should be closely monitored, hypoglycaemia has occurred with co</w:t>
            </w:r>
            <w:r w:rsidR="00CB4CD3">
              <w:t>-</w:t>
            </w:r>
            <w:r>
              <w:t xml:space="preserve">administration. </w:t>
            </w:r>
          </w:p>
          <w:p w:rsidR="00452CBB" w:rsidRPr="00CB4CD3" w:rsidRDefault="002835F0" w:rsidP="00507044">
            <w:pPr>
              <w:tabs>
                <w:tab w:val="left" w:pos="318"/>
              </w:tabs>
              <w:spacing w:line="276" w:lineRule="auto"/>
              <w:ind w:right="-143"/>
              <w:rPr>
                <w:rFonts w:cs="Arial"/>
                <w:szCs w:val="20"/>
              </w:rPr>
            </w:pPr>
            <w:r>
              <w:t>Concomitant administration of sulfasalazine and methotrexate to rheumatoid arthritis patients does not alter the pharmacokinetic disposition of the drugs; however, an increased incidence of gastrointestinal adverse events, especially nausea is possible. Oral sulfasalazine inhibits the absorption and metabolism of folic acid and may cause folic acid deficiency, which can be normalised by administration of folic acid.</w:t>
            </w:r>
          </w:p>
        </w:tc>
      </w:tr>
      <w:tr w:rsidR="00645256" w:rsidRPr="00507044" w:rsidTr="00C454C7">
        <w:tc>
          <w:tcPr>
            <w:tcW w:w="9134" w:type="dxa"/>
            <w:shd w:val="clear" w:color="auto" w:fill="auto"/>
          </w:tcPr>
          <w:p w:rsidR="00645256" w:rsidRPr="00507044" w:rsidRDefault="00645256" w:rsidP="00507044">
            <w:pPr>
              <w:pStyle w:val="RomanNumerials"/>
              <w:numPr>
                <w:ilvl w:val="0"/>
                <w:numId w:val="2"/>
              </w:numPr>
              <w:rPr>
                <w:rFonts w:ascii="Arial" w:hAnsi="Arial" w:cs="Arial"/>
                <w:b/>
                <w:bCs/>
                <w:szCs w:val="18"/>
              </w:rPr>
            </w:pPr>
            <w:r w:rsidRPr="00507044">
              <w:rPr>
                <w:rFonts w:ascii="Arial" w:hAnsi="Arial" w:cs="Arial"/>
                <w:b/>
                <w:bCs/>
                <w:szCs w:val="18"/>
              </w:rPr>
              <w:t>References:</w:t>
            </w:r>
          </w:p>
          <w:p w:rsidR="001771B1" w:rsidRPr="00507044" w:rsidRDefault="001771B1" w:rsidP="00507044">
            <w:pPr>
              <w:pStyle w:val="ListParagraph"/>
              <w:ind w:left="0"/>
              <w:rPr>
                <w:rFonts w:cs="Arial"/>
                <w:sz w:val="18"/>
                <w:szCs w:val="18"/>
              </w:rPr>
            </w:pPr>
            <w:proofErr w:type="gramStart"/>
            <w:r w:rsidRPr="00507044">
              <w:rPr>
                <w:rFonts w:cs="Arial"/>
                <w:sz w:val="18"/>
                <w:szCs w:val="18"/>
              </w:rPr>
              <w:t>1. Guidelines for the management of inflammatory bowel disease in adults.</w:t>
            </w:r>
            <w:proofErr w:type="gramEnd"/>
            <w:r w:rsidRPr="00507044">
              <w:rPr>
                <w:rFonts w:cs="Arial"/>
                <w:sz w:val="18"/>
                <w:szCs w:val="18"/>
              </w:rPr>
              <w:t xml:space="preserve"> </w:t>
            </w:r>
            <w:proofErr w:type="spellStart"/>
            <w:r w:rsidRPr="00507044">
              <w:rPr>
                <w:rFonts w:cs="Arial"/>
                <w:sz w:val="18"/>
                <w:szCs w:val="18"/>
              </w:rPr>
              <w:t>Mowat</w:t>
            </w:r>
            <w:proofErr w:type="spellEnd"/>
            <w:r w:rsidRPr="00507044">
              <w:rPr>
                <w:rFonts w:cs="Arial"/>
                <w:sz w:val="18"/>
                <w:szCs w:val="18"/>
              </w:rPr>
              <w:t xml:space="preserve"> C, et al. Gut (2011).</w:t>
            </w:r>
          </w:p>
          <w:p w:rsidR="001771B1" w:rsidRPr="00507044" w:rsidRDefault="001771B1" w:rsidP="00507044">
            <w:pPr>
              <w:pStyle w:val="ListParagraph"/>
              <w:ind w:left="0"/>
              <w:rPr>
                <w:rFonts w:cs="Arial"/>
                <w:sz w:val="18"/>
                <w:szCs w:val="18"/>
              </w:rPr>
            </w:pPr>
            <w:proofErr w:type="gramStart"/>
            <w:r w:rsidRPr="00507044">
              <w:rPr>
                <w:rFonts w:cs="Arial"/>
                <w:sz w:val="18"/>
                <w:szCs w:val="18"/>
              </w:rPr>
              <w:t>2. BSR and BHPR guideline for the prescription and monitoring of non-biologic disease-modifying anti-rheumatic drugs.</w:t>
            </w:r>
            <w:proofErr w:type="gramEnd"/>
            <w:r w:rsidRPr="00507044">
              <w:rPr>
                <w:rFonts w:cs="Arial"/>
                <w:sz w:val="18"/>
                <w:szCs w:val="18"/>
              </w:rPr>
              <w:t xml:space="preserve"> 2017 Jo </w:t>
            </w:r>
            <w:proofErr w:type="spellStart"/>
            <w:r w:rsidRPr="00507044">
              <w:rPr>
                <w:rFonts w:cs="Arial"/>
                <w:sz w:val="18"/>
                <w:szCs w:val="18"/>
              </w:rPr>
              <w:t>Ledingham</w:t>
            </w:r>
            <w:proofErr w:type="spellEnd"/>
            <w:r w:rsidRPr="00507044">
              <w:rPr>
                <w:rFonts w:cs="Arial"/>
                <w:sz w:val="18"/>
                <w:szCs w:val="18"/>
              </w:rPr>
              <w:t xml:space="preserve"> et al. </w:t>
            </w:r>
            <w:hyperlink r:id="rId10" w:history="1">
              <w:r w:rsidRPr="00507044">
                <w:rPr>
                  <w:rStyle w:val="Hyperlink"/>
                  <w:rFonts w:cs="Arial"/>
                  <w:sz w:val="18"/>
                  <w:szCs w:val="18"/>
                </w:rPr>
                <w:t>http://www.rheumatology.org.uk/includes/documents/cm_docs/2017/f/full_guideline_dmards.pdf</w:t>
              </w:r>
            </w:hyperlink>
            <w:r w:rsidRPr="00507044">
              <w:rPr>
                <w:rFonts w:cs="Arial"/>
                <w:sz w:val="18"/>
                <w:szCs w:val="18"/>
              </w:rPr>
              <w:t xml:space="preserve"> (accessed 9/3/17)</w:t>
            </w:r>
          </w:p>
          <w:p w:rsidR="001771B1" w:rsidRPr="00507044" w:rsidRDefault="001771B1" w:rsidP="00507044">
            <w:pPr>
              <w:pStyle w:val="ListParagraph"/>
              <w:ind w:left="0"/>
              <w:rPr>
                <w:rFonts w:cs="Arial"/>
                <w:sz w:val="18"/>
                <w:szCs w:val="18"/>
              </w:rPr>
            </w:pPr>
            <w:r w:rsidRPr="00507044">
              <w:rPr>
                <w:rFonts w:cs="Arial"/>
                <w:sz w:val="18"/>
                <w:szCs w:val="18"/>
              </w:rPr>
              <w:t xml:space="preserve">3. Immunisation of individuals with underlying medical conditions  </w:t>
            </w:r>
            <w:hyperlink r:id="rId11" w:history="1">
              <w:r w:rsidRPr="00507044">
                <w:rPr>
                  <w:rStyle w:val="Hyperlink"/>
                  <w:rFonts w:cs="Arial"/>
                  <w:sz w:val="18"/>
                  <w:szCs w:val="18"/>
                </w:rPr>
                <w:t>https://www.gov.uk/government/uploads/system/uploads/attachment_data/file/566853/Green_Book_Chapter7.pdf</w:t>
              </w:r>
            </w:hyperlink>
            <w:r w:rsidRPr="00507044">
              <w:rPr>
                <w:rFonts w:cs="Arial"/>
                <w:sz w:val="18"/>
                <w:szCs w:val="18"/>
              </w:rPr>
              <w:t xml:space="preserve">  (accessed 09/03/2017)</w:t>
            </w:r>
          </w:p>
          <w:p w:rsidR="00645256" w:rsidRPr="00507044" w:rsidRDefault="001771B1" w:rsidP="00507044">
            <w:pPr>
              <w:rPr>
                <w:rFonts w:cs="Arial"/>
                <w:bCs/>
                <w:sz w:val="18"/>
                <w:szCs w:val="18"/>
                <w:lang w:val="en-AU"/>
              </w:rPr>
            </w:pPr>
            <w:proofErr w:type="gramStart"/>
            <w:r w:rsidRPr="00507044">
              <w:rPr>
                <w:rFonts w:cs="Arial"/>
                <w:sz w:val="18"/>
                <w:szCs w:val="18"/>
              </w:rPr>
              <w:t>4. Handbook of systemic drug treatment in dermatology 2</w:t>
            </w:r>
            <w:r w:rsidRPr="00507044">
              <w:rPr>
                <w:rFonts w:cs="Arial"/>
                <w:sz w:val="18"/>
                <w:szCs w:val="18"/>
                <w:vertAlign w:val="superscript"/>
              </w:rPr>
              <w:t>nd</w:t>
            </w:r>
            <w:r w:rsidRPr="00507044">
              <w:rPr>
                <w:rFonts w:cs="Arial"/>
                <w:sz w:val="18"/>
                <w:szCs w:val="18"/>
              </w:rPr>
              <w:t xml:space="preserve"> edition (2015) S Wakelin et al </w:t>
            </w:r>
            <w:r w:rsidR="00645256" w:rsidRPr="00507044">
              <w:rPr>
                <w:rFonts w:cs="Arial"/>
                <w:bCs/>
                <w:sz w:val="18"/>
                <w:szCs w:val="18"/>
                <w:lang w:val="en-AU"/>
              </w:rPr>
              <w:t>British Society for Rheumatology, Immunisation against shingles in people with inflammatory rheumatic disease.</w:t>
            </w:r>
            <w:proofErr w:type="gramEnd"/>
            <w:r w:rsidR="00645256" w:rsidRPr="00507044">
              <w:rPr>
                <w:rFonts w:cs="Arial"/>
                <w:bCs/>
                <w:sz w:val="18"/>
                <w:szCs w:val="18"/>
                <w:lang w:val="en-AU"/>
              </w:rPr>
              <w:t xml:space="preserve"> Available at </w:t>
            </w:r>
            <w:hyperlink r:id="rId12" w:history="1">
              <w:r w:rsidR="00645256" w:rsidRPr="00507044">
                <w:rPr>
                  <w:rStyle w:val="Hyperlink"/>
                  <w:rFonts w:cs="Arial"/>
                  <w:bCs/>
                  <w:sz w:val="18"/>
                  <w:szCs w:val="18"/>
                  <w:lang w:val="en-AU"/>
                </w:rPr>
                <w:t>http://www.rheumatology.org.uk/includes/documents/cm_docs/2013/i/immunisation_with_zostavax_for_people_with_inflammatory_rheumatic_disease.pdf</w:t>
              </w:r>
            </w:hyperlink>
            <w:r w:rsidR="00645256" w:rsidRPr="00507044">
              <w:rPr>
                <w:rFonts w:cs="Arial"/>
                <w:bCs/>
                <w:sz w:val="18"/>
                <w:szCs w:val="18"/>
                <w:lang w:val="en-AU"/>
              </w:rPr>
              <w:t xml:space="preserve">   (access</w:t>
            </w:r>
            <w:r w:rsidR="00323816" w:rsidRPr="00507044">
              <w:rPr>
                <w:rFonts w:cs="Arial"/>
                <w:bCs/>
                <w:sz w:val="18"/>
                <w:szCs w:val="18"/>
                <w:lang w:val="en-AU"/>
              </w:rPr>
              <w:t>ed 13/3/17</w:t>
            </w:r>
            <w:r w:rsidR="00645256" w:rsidRPr="00507044">
              <w:rPr>
                <w:rFonts w:cs="Arial"/>
                <w:bCs/>
                <w:sz w:val="18"/>
                <w:szCs w:val="18"/>
                <w:lang w:val="en-AU"/>
              </w:rPr>
              <w:t>).</w:t>
            </w:r>
          </w:p>
          <w:p w:rsidR="00645256" w:rsidRPr="00507044" w:rsidRDefault="001771B1" w:rsidP="00507044">
            <w:pPr>
              <w:pStyle w:val="RomanNumerials"/>
              <w:ind w:left="0"/>
              <w:rPr>
                <w:rFonts w:ascii="Arial" w:hAnsi="Arial" w:cs="Arial"/>
                <w:bCs/>
                <w:sz w:val="18"/>
                <w:szCs w:val="18"/>
              </w:rPr>
            </w:pPr>
            <w:proofErr w:type="gramStart"/>
            <w:r w:rsidRPr="00507044">
              <w:rPr>
                <w:rFonts w:ascii="Arial" w:hAnsi="Arial" w:cs="Arial"/>
                <w:bCs/>
                <w:sz w:val="18"/>
                <w:szCs w:val="18"/>
              </w:rPr>
              <w:t xml:space="preserve">5. </w:t>
            </w:r>
            <w:r w:rsidR="00645256" w:rsidRPr="00507044">
              <w:rPr>
                <w:rFonts w:ascii="Arial" w:hAnsi="Arial" w:cs="Arial"/>
                <w:bCs/>
                <w:sz w:val="18"/>
                <w:szCs w:val="18"/>
              </w:rPr>
              <w:t>Summary of Pr</w:t>
            </w:r>
            <w:r w:rsidR="0074141D" w:rsidRPr="00507044">
              <w:rPr>
                <w:rFonts w:ascii="Arial" w:hAnsi="Arial" w:cs="Arial"/>
                <w:bCs/>
                <w:sz w:val="18"/>
                <w:szCs w:val="18"/>
              </w:rPr>
              <w:t>oduct Characteristics.</w:t>
            </w:r>
            <w:proofErr w:type="gramEnd"/>
            <w:r w:rsidR="0074141D" w:rsidRPr="00507044">
              <w:rPr>
                <w:rFonts w:ascii="Arial" w:hAnsi="Arial" w:cs="Arial"/>
                <w:bCs/>
                <w:sz w:val="18"/>
                <w:szCs w:val="18"/>
              </w:rPr>
              <w:t xml:space="preserve">  </w:t>
            </w:r>
            <w:r w:rsidR="00645256" w:rsidRPr="00507044">
              <w:rPr>
                <w:rFonts w:ascii="Arial" w:hAnsi="Arial" w:cs="Arial"/>
                <w:bCs/>
                <w:sz w:val="18"/>
                <w:szCs w:val="18"/>
              </w:rPr>
              <w:t xml:space="preserve">Available at: </w:t>
            </w:r>
            <w:hyperlink r:id="rId13" w:history="1">
              <w:r w:rsidR="00645256" w:rsidRPr="00507044">
                <w:rPr>
                  <w:rStyle w:val="Hyperlink"/>
                  <w:rFonts w:ascii="Arial" w:hAnsi="Arial" w:cs="Arial"/>
                  <w:bCs/>
                  <w:sz w:val="18"/>
                  <w:szCs w:val="18"/>
                </w:rPr>
                <w:t>http://www.medicines.org.uk/emc/</w:t>
              </w:r>
            </w:hyperlink>
            <w:r w:rsidR="00645256" w:rsidRPr="00507044">
              <w:rPr>
                <w:rFonts w:ascii="Arial" w:hAnsi="Arial" w:cs="Arial"/>
                <w:bCs/>
                <w:sz w:val="18"/>
                <w:szCs w:val="18"/>
              </w:rPr>
              <w:t xml:space="preserve">  </w:t>
            </w:r>
            <w:r w:rsidR="00853215" w:rsidRPr="00507044">
              <w:rPr>
                <w:rFonts w:ascii="Arial" w:hAnsi="Arial" w:cs="Arial"/>
                <w:bCs/>
                <w:sz w:val="18"/>
                <w:szCs w:val="18"/>
              </w:rPr>
              <w:t>(accessed 13/8</w:t>
            </w:r>
            <w:r w:rsidR="00323816" w:rsidRPr="00507044">
              <w:rPr>
                <w:rFonts w:ascii="Arial" w:hAnsi="Arial" w:cs="Arial"/>
                <w:bCs/>
                <w:sz w:val="18"/>
                <w:szCs w:val="18"/>
              </w:rPr>
              <w:t>/17).</w:t>
            </w:r>
          </w:p>
          <w:p w:rsidR="00645256" w:rsidRPr="00507044" w:rsidRDefault="001771B1" w:rsidP="00507044">
            <w:pPr>
              <w:pStyle w:val="RomanNumerials"/>
              <w:ind w:left="0"/>
              <w:rPr>
                <w:rFonts w:ascii="Arial" w:hAnsi="Arial" w:cs="Arial"/>
                <w:bCs/>
                <w:sz w:val="18"/>
                <w:szCs w:val="18"/>
              </w:rPr>
            </w:pPr>
            <w:proofErr w:type="gramStart"/>
            <w:r w:rsidRPr="00507044">
              <w:rPr>
                <w:rFonts w:ascii="Arial" w:hAnsi="Arial" w:cs="Arial"/>
                <w:bCs/>
                <w:sz w:val="18"/>
                <w:szCs w:val="18"/>
              </w:rPr>
              <w:t xml:space="preserve">6. </w:t>
            </w:r>
            <w:r w:rsidR="00645256" w:rsidRPr="00507044">
              <w:rPr>
                <w:rFonts w:ascii="Arial" w:hAnsi="Arial" w:cs="Arial"/>
                <w:bCs/>
                <w:sz w:val="18"/>
                <w:szCs w:val="18"/>
              </w:rPr>
              <w:t>UKMI.</w:t>
            </w:r>
            <w:proofErr w:type="gramEnd"/>
            <w:r w:rsidR="00645256" w:rsidRPr="00507044">
              <w:rPr>
                <w:rFonts w:ascii="Arial" w:hAnsi="Arial" w:cs="Arial"/>
                <w:bCs/>
                <w:sz w:val="18"/>
                <w:szCs w:val="18"/>
              </w:rPr>
              <w:t xml:space="preserve"> </w:t>
            </w:r>
            <w:proofErr w:type="gramStart"/>
            <w:r w:rsidR="00645256" w:rsidRPr="00507044">
              <w:rPr>
                <w:rFonts w:ascii="Arial" w:hAnsi="Arial" w:cs="Arial"/>
                <w:bCs/>
                <w:i/>
                <w:sz w:val="18"/>
                <w:szCs w:val="18"/>
              </w:rPr>
              <w:t>Suggestions for Drug Monitoring in Adults in Primary Care.</w:t>
            </w:r>
            <w:proofErr w:type="gramEnd"/>
            <w:r w:rsidR="00645256" w:rsidRPr="00507044">
              <w:rPr>
                <w:rFonts w:ascii="Arial" w:hAnsi="Arial" w:cs="Arial"/>
                <w:bCs/>
                <w:i/>
                <w:sz w:val="18"/>
                <w:szCs w:val="18"/>
              </w:rPr>
              <w:t xml:space="preserve"> </w:t>
            </w:r>
            <w:r w:rsidR="00645256" w:rsidRPr="00507044">
              <w:rPr>
                <w:rFonts w:ascii="Arial" w:hAnsi="Arial" w:cs="Arial"/>
                <w:bCs/>
                <w:sz w:val="18"/>
                <w:szCs w:val="18"/>
              </w:rPr>
              <w:t xml:space="preserve">February 2014. Available at </w:t>
            </w:r>
            <w:hyperlink r:id="rId14" w:history="1">
              <w:r w:rsidR="00645256" w:rsidRPr="00507044">
                <w:rPr>
                  <w:rStyle w:val="Hyperlink"/>
                  <w:rFonts w:ascii="Arial" w:hAnsi="Arial" w:cs="Arial"/>
                  <w:bCs/>
                  <w:sz w:val="18"/>
                  <w:szCs w:val="18"/>
                </w:rPr>
                <w:t>http://www.medicinesresources.nhs.uk/upload/documents/Evidence/Drug%20monitoring%20document%20Feb%202014.pdf</w:t>
              </w:r>
            </w:hyperlink>
            <w:r w:rsidR="00FE177E" w:rsidRPr="00507044">
              <w:rPr>
                <w:rFonts w:ascii="Arial" w:hAnsi="Arial" w:cs="Arial"/>
                <w:bCs/>
                <w:sz w:val="18"/>
                <w:szCs w:val="18"/>
              </w:rPr>
              <w:t xml:space="preserve"> (accessed 13/8</w:t>
            </w:r>
            <w:r w:rsidR="00323816" w:rsidRPr="00507044">
              <w:rPr>
                <w:rFonts w:ascii="Arial" w:hAnsi="Arial" w:cs="Arial"/>
                <w:bCs/>
                <w:sz w:val="18"/>
                <w:szCs w:val="18"/>
              </w:rPr>
              <w:t>/17)</w:t>
            </w:r>
          </w:p>
        </w:tc>
      </w:tr>
    </w:tbl>
    <w:p w:rsidR="00260B7E" w:rsidRPr="00507044" w:rsidRDefault="00260B7E" w:rsidP="00507044">
      <w:pPr>
        <w:ind w:left="142"/>
        <w:rPr>
          <w:rStyle w:val="Date1"/>
          <w:rFonts w:cs="Arial"/>
          <w:sz w:val="18"/>
          <w:szCs w:val="18"/>
        </w:rPr>
      </w:pPr>
      <w:r w:rsidRPr="00507044">
        <w:rPr>
          <w:rFonts w:cs="Arial"/>
          <w:sz w:val="18"/>
          <w:szCs w:val="18"/>
        </w:rPr>
        <w:t>7. BSR and BHPR guideline on prescribing drugs in pregnancy and breastfeeding</w:t>
      </w:r>
      <w:r w:rsidRPr="00507044">
        <w:rPr>
          <w:rStyle w:val="author"/>
          <w:rFonts w:cs="Arial"/>
          <w:sz w:val="18"/>
          <w:szCs w:val="18"/>
        </w:rPr>
        <w:t> </w:t>
      </w:r>
      <w:hyperlink r:id="rId15" w:history="1">
        <w:r w:rsidRPr="00507044">
          <w:rPr>
            <w:rStyle w:val="Hyperlink"/>
            <w:rFonts w:cs="Arial"/>
            <w:color w:val="auto"/>
            <w:sz w:val="18"/>
            <w:szCs w:val="18"/>
            <w:u w:val="none"/>
          </w:rPr>
          <w:t>British Society for   Rheumatology</w:t>
        </w:r>
      </w:hyperlink>
      <w:r w:rsidRPr="00507044">
        <w:rPr>
          <w:rStyle w:val="Date1"/>
          <w:rFonts w:cs="Arial"/>
          <w:sz w:val="18"/>
          <w:szCs w:val="18"/>
        </w:rPr>
        <w:t>18 January 2016</w:t>
      </w:r>
    </w:p>
    <w:p w:rsidR="00260B7E" w:rsidRPr="00507044" w:rsidRDefault="00BB6C50" w:rsidP="00507044">
      <w:pPr>
        <w:ind w:left="142"/>
        <w:rPr>
          <w:rFonts w:cs="Arial"/>
          <w:sz w:val="18"/>
          <w:szCs w:val="18"/>
        </w:rPr>
      </w:pPr>
      <w:hyperlink r:id="rId16" w:history="1">
        <w:r w:rsidR="00260B7E" w:rsidRPr="00507044">
          <w:rPr>
            <w:rStyle w:val="Hyperlink"/>
            <w:rFonts w:cs="Arial"/>
            <w:sz w:val="18"/>
            <w:szCs w:val="18"/>
          </w:rPr>
          <w:t>https://www.guidelines.co.uk/musculoskeletal-and-joints-/bsr-and-bhpr-guideline-on-prescribing-drugs-in-pregnancy-and-breastfeeding/252703.article</w:t>
        </w:r>
      </w:hyperlink>
      <w:r w:rsidR="00260B7E" w:rsidRPr="00507044">
        <w:rPr>
          <w:rFonts w:cs="Arial"/>
          <w:color w:val="444444"/>
          <w:sz w:val="18"/>
          <w:szCs w:val="18"/>
        </w:rPr>
        <w:t xml:space="preserve"> </w:t>
      </w:r>
      <w:r w:rsidR="00260B7E" w:rsidRPr="00507044">
        <w:rPr>
          <w:rFonts w:cs="Arial"/>
          <w:sz w:val="18"/>
          <w:szCs w:val="18"/>
        </w:rPr>
        <w:t>(accessed 14/11/2017)</w:t>
      </w:r>
    </w:p>
    <w:p w:rsidR="00645256" w:rsidRPr="002D0306" w:rsidRDefault="00645256" w:rsidP="00C454C7">
      <w:pPr>
        <w:tabs>
          <w:tab w:val="left" w:pos="2366"/>
        </w:tabs>
        <w:spacing w:after="120"/>
        <w:rPr>
          <w:b/>
          <w:snapToGrid w:val="0"/>
        </w:rPr>
      </w:pPr>
      <w:r w:rsidRPr="00AB2F74">
        <w:rPr>
          <w:b/>
          <w:snapToGrid w:val="0"/>
          <w:color w:val="FF0000"/>
        </w:rPr>
        <w:br w:type="page"/>
      </w:r>
      <w:r w:rsidRPr="002D0306">
        <w:rPr>
          <w:b/>
          <w:snapToGrid w:val="0"/>
        </w:rPr>
        <w:lastRenderedPageBreak/>
        <w:t>RESPONSIBILITIES and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89"/>
      </w:tblGrid>
      <w:tr w:rsidR="00645256" w:rsidRPr="00266B2E" w:rsidTr="00507044">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645256" w:rsidRPr="00266B2E" w:rsidRDefault="00645256" w:rsidP="00507044">
            <w:pPr>
              <w:tabs>
                <w:tab w:val="left" w:pos="540"/>
              </w:tabs>
              <w:spacing w:before="40" w:after="40"/>
              <w:jc w:val="center"/>
              <w:rPr>
                <w:b/>
                <w:snapToGrid w:val="0"/>
              </w:rPr>
            </w:pPr>
            <w:r w:rsidRPr="00266B2E">
              <w:rPr>
                <w:b/>
              </w:rPr>
              <w:t>Consultant or specialist</w:t>
            </w:r>
            <w:r w:rsidRPr="00266B2E">
              <w:rPr>
                <w:b/>
                <w:snapToGrid w:val="0"/>
              </w:rPr>
              <w:t xml:space="preserve"> responsibilities</w:t>
            </w:r>
          </w:p>
        </w:tc>
      </w:tr>
      <w:tr w:rsidR="00645256" w:rsidRPr="00266B2E" w:rsidTr="00507044">
        <w:trPr>
          <w:trHeight w:val="4277"/>
        </w:trPr>
        <w:tc>
          <w:tcPr>
            <w:tcW w:w="5000" w:type="pct"/>
            <w:tcBorders>
              <w:top w:val="single" w:sz="4" w:space="0" w:color="auto"/>
            </w:tcBorders>
          </w:tcPr>
          <w:p w:rsidR="00645256" w:rsidRPr="001771B1" w:rsidRDefault="00645256" w:rsidP="001771B1">
            <w:pPr>
              <w:numPr>
                <w:ilvl w:val="0"/>
                <w:numId w:val="30"/>
              </w:numPr>
              <w:jc w:val="both"/>
              <w:rPr>
                <w:rFonts w:cs="Arial"/>
              </w:rPr>
            </w:pPr>
            <w:r w:rsidRPr="001771B1">
              <w:rPr>
                <w:rFonts w:cs="Arial"/>
              </w:rPr>
              <w:t>Confirm diagnosis an</w:t>
            </w:r>
            <w:r w:rsidR="00853215" w:rsidRPr="001771B1">
              <w:rPr>
                <w:rFonts w:cs="Arial"/>
              </w:rPr>
              <w:t>d indication for treatment with</w:t>
            </w:r>
            <w:r w:rsidR="002835F0">
              <w:rPr>
                <w:rFonts w:cs="Arial"/>
              </w:rPr>
              <w:t xml:space="preserve"> </w:t>
            </w:r>
            <w:r w:rsidR="002835F0" w:rsidRPr="00CB4CD3">
              <w:rPr>
                <w:rFonts w:cs="Arial"/>
                <w:u w:val="single"/>
              </w:rPr>
              <w:t>enteric coated</w:t>
            </w:r>
            <w:r w:rsidR="00CB4CD3">
              <w:rPr>
                <w:rFonts w:cs="Arial"/>
              </w:rPr>
              <w:t xml:space="preserve"> s</w:t>
            </w:r>
            <w:r w:rsidR="000F35D1">
              <w:rPr>
                <w:rFonts w:cs="Arial"/>
              </w:rPr>
              <w:t>ulf</w:t>
            </w:r>
            <w:r w:rsidR="002835F0">
              <w:rPr>
                <w:rFonts w:cs="Arial"/>
              </w:rPr>
              <w:t>asalazine.</w:t>
            </w:r>
          </w:p>
          <w:p w:rsidR="00645256" w:rsidRPr="001771B1" w:rsidRDefault="00645256" w:rsidP="001771B1">
            <w:pPr>
              <w:numPr>
                <w:ilvl w:val="0"/>
                <w:numId w:val="30"/>
              </w:numPr>
              <w:jc w:val="both"/>
              <w:rPr>
                <w:rFonts w:cs="Arial"/>
              </w:rPr>
            </w:pPr>
            <w:r w:rsidRPr="001771B1">
              <w:rPr>
                <w:rFonts w:cs="Arial"/>
              </w:rPr>
              <w:t>To discuss fully the aims, benefits, risks and side effects of treatment and a treatment plan with the patient and/or carer and written information to be supplied to the patient and/or carer.</w:t>
            </w:r>
          </w:p>
          <w:p w:rsidR="00645256" w:rsidRPr="001771B1" w:rsidRDefault="00645256" w:rsidP="001771B1">
            <w:pPr>
              <w:numPr>
                <w:ilvl w:val="0"/>
                <w:numId w:val="30"/>
              </w:numPr>
              <w:jc w:val="both"/>
              <w:rPr>
                <w:rFonts w:cs="Arial"/>
                <w:b/>
                <w:snapToGrid w:val="0"/>
              </w:rPr>
            </w:pPr>
            <w:r w:rsidRPr="001771B1">
              <w:rPr>
                <w:rFonts w:cs="Arial"/>
                <w:szCs w:val="20"/>
                <w:lang w:eastAsia="en-GB"/>
              </w:rPr>
              <w:t>Prior to treatment ask GP whether patient has had pneumococcal vaccination and flu vaccination and, if not, immunise (unless contra-</w:t>
            </w:r>
            <w:r w:rsidRPr="001771B1">
              <w:rPr>
                <w:rFonts w:cs="Arial"/>
                <w:snapToGrid w:val="0"/>
                <w:szCs w:val="20"/>
              </w:rPr>
              <w:t>indicated).</w:t>
            </w:r>
          </w:p>
          <w:p w:rsidR="00645256" w:rsidRPr="001771B1" w:rsidRDefault="00645256" w:rsidP="001771B1">
            <w:pPr>
              <w:numPr>
                <w:ilvl w:val="0"/>
                <w:numId w:val="30"/>
              </w:numPr>
              <w:jc w:val="both"/>
              <w:rPr>
                <w:rFonts w:cs="Arial"/>
                <w:b/>
                <w:snapToGrid w:val="0"/>
              </w:rPr>
            </w:pPr>
            <w:r w:rsidRPr="001771B1">
              <w:rPr>
                <w:rFonts w:cs="Arial"/>
                <w:szCs w:val="20"/>
                <w:lang w:eastAsia="en-GB"/>
              </w:rPr>
              <w:t>Inform GP when initiating treatment so the GP is aware what is being prescribed and can add to GP clinical record.</w:t>
            </w:r>
          </w:p>
          <w:p w:rsidR="00645256" w:rsidRPr="001771B1" w:rsidRDefault="00645256" w:rsidP="001771B1">
            <w:pPr>
              <w:numPr>
                <w:ilvl w:val="0"/>
                <w:numId w:val="30"/>
              </w:numPr>
              <w:jc w:val="both"/>
              <w:rPr>
                <w:rFonts w:cs="Arial"/>
              </w:rPr>
            </w:pPr>
            <w:r w:rsidRPr="001771B1">
              <w:rPr>
                <w:rFonts w:cs="Arial"/>
              </w:rPr>
              <w:t>Undertake baseline monitoring as required (specific to the medication).</w:t>
            </w:r>
          </w:p>
          <w:p w:rsidR="00645256" w:rsidRPr="001771B1" w:rsidRDefault="00645256" w:rsidP="001771B1">
            <w:pPr>
              <w:numPr>
                <w:ilvl w:val="0"/>
                <w:numId w:val="30"/>
              </w:numPr>
              <w:rPr>
                <w:rFonts w:cs="Arial"/>
              </w:rPr>
            </w:pPr>
            <w:r w:rsidRPr="001771B1">
              <w:rPr>
                <w:rFonts w:cs="Arial"/>
              </w:rPr>
              <w:t>Record other medications and address potential medicine interactions before starting therapy.</w:t>
            </w:r>
          </w:p>
          <w:p w:rsidR="00645256" w:rsidRPr="001771B1" w:rsidRDefault="00645256" w:rsidP="001771B1">
            <w:pPr>
              <w:numPr>
                <w:ilvl w:val="0"/>
                <w:numId w:val="30"/>
              </w:numPr>
              <w:rPr>
                <w:rFonts w:cs="Arial"/>
                <w:szCs w:val="20"/>
              </w:rPr>
            </w:pPr>
            <w:r w:rsidRPr="001771B1">
              <w:rPr>
                <w:rFonts w:cs="Arial"/>
                <w:szCs w:val="20"/>
              </w:rPr>
              <w:t>Discuss the potential implications of pregnancy and breastfeeding in women of child</w:t>
            </w:r>
            <w:r w:rsidR="00452CBB">
              <w:rPr>
                <w:rFonts w:cs="Arial"/>
                <w:szCs w:val="20"/>
              </w:rPr>
              <w:t xml:space="preserve"> bearing potential and agree a</w:t>
            </w:r>
            <w:r w:rsidRPr="001771B1">
              <w:rPr>
                <w:rFonts w:cs="Arial"/>
                <w:szCs w:val="20"/>
              </w:rPr>
              <w:t xml:space="preserve"> strategy. </w:t>
            </w:r>
          </w:p>
          <w:p w:rsidR="00645256" w:rsidRPr="001771B1" w:rsidRDefault="00645256" w:rsidP="001771B1">
            <w:pPr>
              <w:numPr>
                <w:ilvl w:val="0"/>
                <w:numId w:val="30"/>
              </w:numPr>
              <w:jc w:val="both"/>
              <w:rPr>
                <w:rFonts w:cs="Arial"/>
              </w:rPr>
            </w:pPr>
            <w:r w:rsidRPr="001771B1">
              <w:rPr>
                <w:rFonts w:cs="Arial"/>
              </w:rPr>
              <w:t>To initiate treatment by prescribing and monitoring usually for a minimum of 3 months.</w:t>
            </w:r>
          </w:p>
          <w:p w:rsidR="00645256" w:rsidRPr="001771B1" w:rsidRDefault="00645256" w:rsidP="001771B1">
            <w:pPr>
              <w:numPr>
                <w:ilvl w:val="0"/>
                <w:numId w:val="30"/>
              </w:numPr>
              <w:jc w:val="both"/>
              <w:rPr>
                <w:rFonts w:cs="Arial"/>
              </w:rPr>
            </w:pPr>
            <w:r w:rsidRPr="001771B1">
              <w:rPr>
                <w:rFonts w:cs="Arial"/>
              </w:rPr>
              <w:t>Undertake monitoring if dose changed.</w:t>
            </w:r>
          </w:p>
          <w:p w:rsidR="00645256" w:rsidRPr="001771B1" w:rsidRDefault="00645256" w:rsidP="001771B1">
            <w:pPr>
              <w:numPr>
                <w:ilvl w:val="0"/>
                <w:numId w:val="30"/>
              </w:numPr>
              <w:rPr>
                <w:rFonts w:cs="Arial"/>
              </w:rPr>
            </w:pPr>
            <w:r w:rsidRPr="001771B1">
              <w:rPr>
                <w:rFonts w:cs="Arial"/>
              </w:rPr>
              <w:t>Monitor and prescribe according to guidelines until handover is appropriate (including when dose changes are made).</w:t>
            </w:r>
          </w:p>
          <w:p w:rsidR="00645256" w:rsidRPr="001771B1" w:rsidRDefault="00645256" w:rsidP="001771B1">
            <w:pPr>
              <w:numPr>
                <w:ilvl w:val="0"/>
                <w:numId w:val="30"/>
              </w:numPr>
              <w:jc w:val="both"/>
              <w:rPr>
                <w:rFonts w:cs="Arial"/>
              </w:rPr>
            </w:pPr>
            <w:r w:rsidRPr="001771B1">
              <w:rPr>
                <w:rFonts w:cs="Arial"/>
              </w:rPr>
              <w:t>Discuss the possibility of shared care with the patient and/or carer and ensure that they understand the plan for their subsequent treatment.</w:t>
            </w:r>
          </w:p>
          <w:p w:rsidR="00645256" w:rsidRPr="001771B1" w:rsidRDefault="00645256" w:rsidP="001771B1">
            <w:pPr>
              <w:numPr>
                <w:ilvl w:val="0"/>
                <w:numId w:val="30"/>
              </w:numPr>
              <w:jc w:val="both"/>
              <w:rPr>
                <w:rFonts w:cs="Arial"/>
              </w:rPr>
            </w:pPr>
            <w:r w:rsidRPr="001771B1">
              <w:rPr>
                <w:rFonts w:cs="Arial"/>
              </w:rPr>
              <w:t>Supply GP with a summary of the patient’s review (including anticipated length of treatment) and a link to, or a copy of, the shared care guideline when requesting transfer of prescribing to GP or primary care prescribers.</w:t>
            </w:r>
          </w:p>
          <w:p w:rsidR="00645256" w:rsidRPr="001771B1" w:rsidRDefault="00645256" w:rsidP="001771B1">
            <w:pPr>
              <w:numPr>
                <w:ilvl w:val="0"/>
                <w:numId w:val="30"/>
              </w:numPr>
              <w:jc w:val="both"/>
              <w:rPr>
                <w:rFonts w:cs="Arial"/>
                <w:b/>
                <w:snapToGrid w:val="0"/>
              </w:rPr>
            </w:pPr>
            <w:r w:rsidRPr="001771B1">
              <w:rPr>
                <w:rFonts w:cs="Arial"/>
              </w:rPr>
              <w:t>Advise GP if treatment dose changes or treatment is discontinued.</w:t>
            </w:r>
          </w:p>
          <w:p w:rsidR="00645256" w:rsidRPr="00266B2E" w:rsidRDefault="00645256" w:rsidP="001771B1">
            <w:pPr>
              <w:numPr>
                <w:ilvl w:val="0"/>
                <w:numId w:val="30"/>
              </w:numPr>
              <w:jc w:val="both"/>
              <w:rPr>
                <w:rFonts w:cs="Arial"/>
                <w:b/>
                <w:snapToGrid w:val="0"/>
              </w:rPr>
            </w:pPr>
            <w:r w:rsidRPr="001771B1">
              <w:rPr>
                <w:rFonts w:cs="Arial"/>
              </w:rPr>
              <w:t>Inform GP if patient does not attend planned follow-up.</w:t>
            </w:r>
          </w:p>
        </w:tc>
      </w:tr>
    </w:tbl>
    <w:p w:rsidR="00645256" w:rsidRPr="00BC6FEA" w:rsidRDefault="00645256" w:rsidP="00645256">
      <w:pPr>
        <w:tabs>
          <w:tab w:val="right" w:pos="360"/>
          <w:tab w:val="left" w:pos="540"/>
        </w:tabs>
        <w:jc w:val="both"/>
        <w:rPr>
          <w:snapToGrid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89"/>
      </w:tblGrid>
      <w:tr w:rsidR="00645256" w:rsidRPr="00BC6FEA" w:rsidTr="00FE177E">
        <w:tc>
          <w:tcPr>
            <w:tcW w:w="5000" w:type="pct"/>
            <w:shd w:val="clear" w:color="auto" w:fill="C6D9F1" w:themeFill="text2" w:themeFillTint="33"/>
          </w:tcPr>
          <w:p w:rsidR="00645256" w:rsidRPr="00BC6FEA" w:rsidRDefault="00645256" w:rsidP="00507044">
            <w:pPr>
              <w:tabs>
                <w:tab w:val="left" w:pos="540"/>
              </w:tabs>
              <w:spacing w:before="40" w:after="40"/>
              <w:jc w:val="center"/>
              <w:rPr>
                <w:b/>
                <w:snapToGrid w:val="0"/>
              </w:rPr>
            </w:pPr>
            <w:r w:rsidRPr="00BC6FEA">
              <w:rPr>
                <w:b/>
              </w:rPr>
              <w:t>GP or primary care prescriber r</w:t>
            </w:r>
            <w:r w:rsidRPr="00BC6FEA">
              <w:rPr>
                <w:b/>
                <w:snapToGrid w:val="0"/>
              </w:rPr>
              <w:t>esponsibilities</w:t>
            </w:r>
          </w:p>
        </w:tc>
      </w:tr>
      <w:tr w:rsidR="00645256" w:rsidRPr="00BC6FEA" w:rsidTr="001A04ED">
        <w:trPr>
          <w:trHeight w:val="240"/>
        </w:trPr>
        <w:tc>
          <w:tcPr>
            <w:tcW w:w="5000" w:type="pct"/>
            <w:tcBorders>
              <w:top w:val="nil"/>
              <w:bottom w:val="nil"/>
            </w:tcBorders>
          </w:tcPr>
          <w:p w:rsidR="00645256" w:rsidRPr="00BC6FEA" w:rsidRDefault="00FE177E" w:rsidP="00452CBB">
            <w:pPr>
              <w:numPr>
                <w:ilvl w:val="0"/>
                <w:numId w:val="31"/>
              </w:numPr>
              <w:tabs>
                <w:tab w:val="left" w:pos="540"/>
              </w:tabs>
              <w:jc w:val="both"/>
              <w:rPr>
                <w:rFonts w:cs="Arial"/>
                <w:snapToGrid w:val="0"/>
              </w:rPr>
            </w:pPr>
            <w:r>
              <w:rPr>
                <w:rFonts w:cs="Arial"/>
                <w:snapToGrid w:val="0"/>
              </w:rPr>
              <w:t xml:space="preserve">Continue prescribing </w:t>
            </w:r>
            <w:r w:rsidR="00645256" w:rsidRPr="00BC6FEA">
              <w:rPr>
                <w:rFonts w:cs="Arial"/>
                <w:snapToGrid w:val="0"/>
              </w:rPr>
              <w:t>at the dose recommended and undertake monitoring requirements.</w:t>
            </w:r>
          </w:p>
          <w:p w:rsidR="00645256" w:rsidRPr="00BC6FEA" w:rsidRDefault="00645256" w:rsidP="00452CBB">
            <w:pPr>
              <w:numPr>
                <w:ilvl w:val="0"/>
                <w:numId w:val="31"/>
              </w:numPr>
              <w:tabs>
                <w:tab w:val="left" w:pos="540"/>
              </w:tabs>
              <w:jc w:val="both"/>
              <w:rPr>
                <w:rFonts w:cs="Arial"/>
                <w:snapToGrid w:val="0"/>
              </w:rPr>
            </w:pPr>
            <w:r w:rsidRPr="00BC6FEA">
              <w:rPr>
                <w:snapToGrid w:val="0"/>
              </w:rPr>
              <w:t>Undertake all relevant monitoring as outlined in the monitoring requirements section below, and take appropriate action as set out in this shared care guideline.</w:t>
            </w:r>
          </w:p>
          <w:p w:rsidR="00645256" w:rsidRPr="00BC6FEA" w:rsidRDefault="00645256" w:rsidP="00452CBB">
            <w:pPr>
              <w:numPr>
                <w:ilvl w:val="0"/>
                <w:numId w:val="31"/>
              </w:numPr>
              <w:tabs>
                <w:tab w:val="left" w:pos="540"/>
              </w:tabs>
              <w:jc w:val="both"/>
              <w:rPr>
                <w:rFonts w:cs="Arial"/>
                <w:snapToGrid w:val="0"/>
              </w:rPr>
            </w:pPr>
            <w:r w:rsidRPr="00BC6FEA">
              <w:rPr>
                <w:rFonts w:cs="Arial"/>
                <w:snapToGrid w:val="0"/>
              </w:rPr>
              <w:t>Monitor for adverse effects throughout treatment and check for medicine interactions on initiating new treatments.</w:t>
            </w:r>
          </w:p>
        </w:tc>
      </w:tr>
      <w:tr w:rsidR="00645256" w:rsidRPr="00BC6FEA" w:rsidTr="001A04ED">
        <w:trPr>
          <w:trHeight w:val="240"/>
        </w:trPr>
        <w:tc>
          <w:tcPr>
            <w:tcW w:w="5000" w:type="pct"/>
            <w:tcBorders>
              <w:top w:val="nil"/>
              <w:bottom w:val="nil"/>
            </w:tcBorders>
          </w:tcPr>
          <w:p w:rsidR="00452CBB" w:rsidRPr="00D362AE" w:rsidRDefault="00645256" w:rsidP="00D362AE">
            <w:pPr>
              <w:numPr>
                <w:ilvl w:val="0"/>
                <w:numId w:val="31"/>
              </w:numPr>
              <w:tabs>
                <w:tab w:val="left" w:pos="540"/>
              </w:tabs>
              <w:jc w:val="both"/>
              <w:rPr>
                <w:rFonts w:cs="Arial"/>
                <w:snapToGrid w:val="0"/>
                <w:szCs w:val="20"/>
              </w:rPr>
            </w:pPr>
            <w:r w:rsidRPr="00BC6FEA">
              <w:rPr>
                <w:rFonts w:cs="Arial"/>
                <w:szCs w:val="20"/>
                <w:lang w:eastAsia="en-GB"/>
              </w:rPr>
              <w:t>Add information about the medicine to the patient record, initially as “hospital prescribed”, and highlight the importance that this medicine is only to be prescribed under a shared care guideline in primary care.</w:t>
            </w:r>
          </w:p>
        </w:tc>
      </w:tr>
      <w:tr w:rsidR="00645256" w:rsidRPr="00BC6FEA" w:rsidTr="001A04ED">
        <w:trPr>
          <w:trHeight w:val="240"/>
        </w:trPr>
        <w:tc>
          <w:tcPr>
            <w:tcW w:w="5000" w:type="pct"/>
            <w:tcBorders>
              <w:top w:val="nil"/>
              <w:bottom w:val="nil"/>
            </w:tcBorders>
          </w:tcPr>
          <w:p w:rsidR="00645256" w:rsidRPr="00452CBB" w:rsidRDefault="00452CBB" w:rsidP="00452CBB">
            <w:pPr>
              <w:pStyle w:val="ListParagraph"/>
              <w:numPr>
                <w:ilvl w:val="0"/>
                <w:numId w:val="31"/>
              </w:numPr>
              <w:rPr>
                <w:rFonts w:cs="Arial"/>
                <w:szCs w:val="20"/>
              </w:rPr>
            </w:pPr>
            <w:r w:rsidRPr="00452CBB">
              <w:rPr>
                <w:rFonts w:cs="Arial"/>
                <w:szCs w:val="20"/>
              </w:rPr>
              <w:t>Report any adverse events to the MHRA and specialist team</w:t>
            </w:r>
            <w:r w:rsidR="00C93A04">
              <w:rPr>
                <w:rFonts w:cs="Arial"/>
                <w:szCs w:val="20"/>
              </w:rPr>
              <w:t>.</w:t>
            </w:r>
          </w:p>
        </w:tc>
      </w:tr>
      <w:tr w:rsidR="00645256" w:rsidRPr="00BC6FEA" w:rsidTr="001A04ED">
        <w:trPr>
          <w:trHeight w:val="240"/>
        </w:trPr>
        <w:tc>
          <w:tcPr>
            <w:tcW w:w="5000" w:type="pct"/>
            <w:tcBorders>
              <w:top w:val="nil"/>
              <w:bottom w:val="nil"/>
            </w:tcBorders>
          </w:tcPr>
          <w:p w:rsidR="00645256" w:rsidRDefault="00645256" w:rsidP="00452CBB">
            <w:pPr>
              <w:numPr>
                <w:ilvl w:val="0"/>
                <w:numId w:val="31"/>
              </w:numPr>
              <w:tabs>
                <w:tab w:val="left" w:pos="540"/>
              </w:tabs>
              <w:jc w:val="both"/>
              <w:rPr>
                <w:snapToGrid w:val="0"/>
              </w:rPr>
            </w:pPr>
            <w:r w:rsidRPr="00BC6FEA">
              <w:rPr>
                <w:snapToGrid w:val="0"/>
              </w:rPr>
              <w:t>Refer patient back to the Consultant/Specialist if any concerns.</w:t>
            </w:r>
          </w:p>
          <w:p w:rsidR="00452CBB" w:rsidRPr="00452CBB" w:rsidRDefault="00452CBB" w:rsidP="00452CBB">
            <w:pPr>
              <w:pStyle w:val="ListParagraph"/>
              <w:numPr>
                <w:ilvl w:val="0"/>
                <w:numId w:val="31"/>
              </w:numPr>
              <w:rPr>
                <w:rFonts w:cs="Arial"/>
                <w:szCs w:val="20"/>
              </w:rPr>
            </w:pPr>
            <w:r w:rsidRPr="00452CBB">
              <w:rPr>
                <w:rFonts w:cs="Arial"/>
                <w:szCs w:val="20"/>
              </w:rPr>
              <w:t>Provide patient with pneumococcal polysaccharide vaccine and flu vaccination unless contra-indicated</w:t>
            </w:r>
            <w:r w:rsidR="00C93A04">
              <w:rPr>
                <w:rFonts w:cs="Arial"/>
                <w:szCs w:val="20"/>
              </w:rPr>
              <w:t>.</w:t>
            </w:r>
          </w:p>
        </w:tc>
      </w:tr>
      <w:tr w:rsidR="00645256" w:rsidRPr="00BC6FEA" w:rsidTr="001A04ED">
        <w:trPr>
          <w:trHeight w:val="240"/>
        </w:trPr>
        <w:tc>
          <w:tcPr>
            <w:tcW w:w="5000" w:type="pct"/>
            <w:tcBorders>
              <w:top w:val="nil"/>
            </w:tcBorders>
          </w:tcPr>
          <w:p w:rsidR="00645256" w:rsidRPr="00BC6FEA" w:rsidRDefault="00645256" w:rsidP="00452CBB">
            <w:pPr>
              <w:numPr>
                <w:ilvl w:val="0"/>
                <w:numId w:val="31"/>
              </w:numPr>
              <w:tabs>
                <w:tab w:val="left" w:pos="540"/>
              </w:tabs>
              <w:jc w:val="both"/>
              <w:rPr>
                <w:snapToGrid w:val="0"/>
              </w:rPr>
            </w:pPr>
            <w:r w:rsidRPr="00BC6FEA">
              <w:rPr>
                <w:snapToGrid w:val="0"/>
              </w:rPr>
              <w:t>Ensure that if care of the patient is transferred to another prescriber, that the new prescriber is made aware of the shared care guideline (e.g. ensuring the patient record is correct in the event of a patient moving surgery).</w:t>
            </w:r>
          </w:p>
        </w:tc>
      </w:tr>
    </w:tbl>
    <w:p w:rsidR="00645256" w:rsidRPr="00BC6FEA" w:rsidRDefault="00645256" w:rsidP="00645256">
      <w:pPr>
        <w:pStyle w:val="mtrachead3"/>
        <w:keepNext w:val="0"/>
        <w:jc w:val="both"/>
        <w:outlineLvl w:val="9"/>
        <w:rPr>
          <w:rFonts w:ascii="Arial" w:hAnsi="Arial"/>
          <w:b w:val="0"/>
          <w:sz w:val="16"/>
          <w:szCs w:val="16"/>
        </w:rPr>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389"/>
      </w:tblGrid>
      <w:tr w:rsidR="00645256" w:rsidRPr="00BC6FEA" w:rsidTr="0072121B">
        <w:trPr>
          <w:trHeight w:val="352"/>
        </w:trPr>
        <w:tc>
          <w:tcPr>
            <w:tcW w:w="5000" w:type="pct"/>
            <w:tcBorders>
              <w:top w:val="single" w:sz="4" w:space="0" w:color="auto"/>
              <w:bottom w:val="single" w:sz="4" w:space="0" w:color="auto"/>
            </w:tcBorders>
            <w:shd w:val="clear" w:color="auto" w:fill="C6D9F1" w:themeFill="text2" w:themeFillTint="33"/>
          </w:tcPr>
          <w:p w:rsidR="00645256" w:rsidRPr="00BC6FEA" w:rsidRDefault="00FE177E" w:rsidP="00507044">
            <w:pPr>
              <w:tabs>
                <w:tab w:val="left" w:pos="540"/>
              </w:tabs>
              <w:spacing w:before="40" w:after="40"/>
              <w:jc w:val="center"/>
              <w:rPr>
                <w:b/>
                <w:snapToGrid w:val="0"/>
              </w:rPr>
            </w:pPr>
            <w:r w:rsidRPr="00BC6FEA">
              <w:rPr>
                <w:b/>
              </w:rPr>
              <w:t>Patient and/or carer r</w:t>
            </w:r>
            <w:r w:rsidRPr="00BC6FEA">
              <w:rPr>
                <w:b/>
                <w:snapToGrid w:val="0"/>
              </w:rPr>
              <w:t>ole</w:t>
            </w:r>
          </w:p>
        </w:tc>
      </w:tr>
      <w:tr w:rsidR="00FE177E" w:rsidRPr="00BC6FEA" w:rsidTr="00507044">
        <w:trPr>
          <w:trHeight w:val="2182"/>
        </w:trPr>
        <w:tc>
          <w:tcPr>
            <w:tcW w:w="5000" w:type="pct"/>
            <w:tcBorders>
              <w:top w:val="single" w:sz="4" w:space="0" w:color="auto"/>
            </w:tcBorders>
          </w:tcPr>
          <w:p w:rsidR="00FE177E" w:rsidRPr="00BC6FEA" w:rsidRDefault="00FE177E" w:rsidP="00452CBB">
            <w:pPr>
              <w:numPr>
                <w:ilvl w:val="0"/>
                <w:numId w:val="33"/>
              </w:numPr>
              <w:jc w:val="both"/>
              <w:rPr>
                <w:rFonts w:cs="Arial"/>
              </w:rPr>
            </w:pPr>
            <w:r w:rsidRPr="00BC6FEA">
              <w:rPr>
                <w:rFonts w:cs="Arial"/>
              </w:rPr>
              <w:t>Make sure that you understand the treatment and ask for more information, if needed.</w:t>
            </w:r>
          </w:p>
          <w:p w:rsidR="00FE177E" w:rsidRPr="00BC6FEA" w:rsidRDefault="00FE177E" w:rsidP="00452CBB">
            <w:pPr>
              <w:numPr>
                <w:ilvl w:val="0"/>
                <w:numId w:val="33"/>
              </w:numPr>
              <w:jc w:val="both"/>
              <w:rPr>
                <w:rFonts w:cs="Arial"/>
              </w:rPr>
            </w:pPr>
            <w:r w:rsidRPr="00BC6FEA">
              <w:rPr>
                <w:rFonts w:cs="Arial"/>
              </w:rPr>
              <w:t>Share any concerns in relation to treatment with whoever is prescribing this medicine for you.</w:t>
            </w:r>
          </w:p>
          <w:p w:rsidR="00FE177E" w:rsidRPr="00BC6FEA" w:rsidRDefault="00FE177E" w:rsidP="00452CBB">
            <w:pPr>
              <w:numPr>
                <w:ilvl w:val="0"/>
                <w:numId w:val="33"/>
              </w:numPr>
              <w:jc w:val="both"/>
              <w:rPr>
                <w:rFonts w:cs="Arial"/>
              </w:rPr>
            </w:pPr>
            <w:r w:rsidRPr="00BC6FEA">
              <w:rPr>
                <w:rFonts w:cs="Arial"/>
              </w:rPr>
              <w:t>Tell the prescriber of this medication about any other medication being taken, including over-the-counter products.</w:t>
            </w:r>
          </w:p>
          <w:p w:rsidR="00FE177E" w:rsidRPr="00BC6FEA" w:rsidRDefault="00FE177E" w:rsidP="00452CBB">
            <w:pPr>
              <w:numPr>
                <w:ilvl w:val="0"/>
                <w:numId w:val="33"/>
              </w:numPr>
              <w:jc w:val="both"/>
              <w:rPr>
                <w:rFonts w:cs="Arial"/>
              </w:rPr>
            </w:pPr>
            <w:r w:rsidRPr="00BC6FEA">
              <w:rPr>
                <w:rFonts w:cs="Arial"/>
              </w:rPr>
              <w:t>Read the patient information leaflet included with your medication and report any side effects or concerns you have to whoever is prescribing this medicine for you.</w:t>
            </w:r>
          </w:p>
          <w:p w:rsidR="00FE177E" w:rsidRPr="00BC6FEA" w:rsidRDefault="00FE177E" w:rsidP="00452CBB">
            <w:pPr>
              <w:numPr>
                <w:ilvl w:val="0"/>
                <w:numId w:val="33"/>
              </w:numPr>
              <w:rPr>
                <w:rFonts w:cs="Arial"/>
              </w:rPr>
            </w:pPr>
            <w:r w:rsidRPr="00BC6FEA">
              <w:rPr>
                <w:rFonts w:cs="Arial"/>
              </w:rPr>
              <w:t>Report immediately any signs or symptoms of bone marrow suppression e.g. infection or inexplicable bruising or bleeding.</w:t>
            </w:r>
          </w:p>
          <w:p w:rsidR="00FE177E" w:rsidRPr="00BC6FEA" w:rsidRDefault="00FE177E" w:rsidP="00452CBB">
            <w:pPr>
              <w:numPr>
                <w:ilvl w:val="0"/>
                <w:numId w:val="33"/>
              </w:numPr>
              <w:jc w:val="both"/>
              <w:rPr>
                <w:rFonts w:cs="Arial"/>
              </w:rPr>
            </w:pPr>
            <w:r w:rsidRPr="00BC6FEA">
              <w:rPr>
                <w:rFonts w:cs="Arial"/>
              </w:rPr>
              <w:t>Attend any follow up appointments with the consultant or specialist.</w:t>
            </w:r>
          </w:p>
        </w:tc>
      </w:tr>
    </w:tbl>
    <w:p w:rsidR="0072121B" w:rsidRDefault="0072121B" w:rsidP="00645256">
      <w:pPr>
        <w:pStyle w:val="mtrachead3"/>
        <w:keepNext w:val="0"/>
        <w:jc w:val="both"/>
        <w:outlineLvl w:val="9"/>
        <w:rPr>
          <w:rFonts w:ascii="Arial" w:hAnsi="Arial"/>
          <w:b w:val="0"/>
          <w:sz w:val="16"/>
          <w:szCs w:val="16"/>
        </w:rPr>
      </w:pPr>
    </w:p>
    <w:p w:rsidR="00D362AE" w:rsidRDefault="00D362AE" w:rsidP="00645256">
      <w:pPr>
        <w:pStyle w:val="mtrachead3"/>
        <w:keepNext w:val="0"/>
        <w:jc w:val="both"/>
        <w:outlineLvl w:val="9"/>
        <w:rPr>
          <w:rFonts w:ascii="Arial" w:hAnsi="Arial"/>
          <w:b w:val="0"/>
          <w:sz w:val="16"/>
          <w:szCs w:val="16"/>
        </w:rPr>
      </w:pPr>
    </w:p>
    <w:p w:rsidR="00D362AE" w:rsidRDefault="00D362AE" w:rsidP="00645256">
      <w:pPr>
        <w:pStyle w:val="mtrachead3"/>
        <w:keepNext w:val="0"/>
        <w:jc w:val="both"/>
        <w:outlineLvl w:val="9"/>
        <w:rPr>
          <w:rFonts w:ascii="Arial" w:hAnsi="Arial"/>
          <w:b w:val="0"/>
          <w:sz w:val="16"/>
          <w:szCs w:val="16"/>
        </w:rPr>
      </w:pPr>
    </w:p>
    <w:p w:rsidR="0072121B" w:rsidRDefault="0072121B" w:rsidP="00645256">
      <w:pPr>
        <w:pStyle w:val="mtrachead3"/>
        <w:keepNext w:val="0"/>
        <w:jc w:val="both"/>
        <w:outlineLvl w:val="9"/>
        <w:rPr>
          <w:rFonts w:ascii="Arial" w:hAnsi="Arial"/>
          <w:b w:val="0"/>
          <w:sz w:val="16"/>
          <w:szCs w:val="16"/>
        </w:rPr>
      </w:pPr>
    </w:p>
    <w:p w:rsidR="00507044" w:rsidRPr="00BC6FEA" w:rsidRDefault="00507044" w:rsidP="00645256">
      <w:pPr>
        <w:pStyle w:val="mtrachead3"/>
        <w:keepNext w:val="0"/>
        <w:jc w:val="both"/>
        <w:outlineLvl w:val="9"/>
        <w:rPr>
          <w:rFonts w:ascii="Arial" w:hAnsi="Arial"/>
          <w:b w:val="0"/>
          <w:sz w:val="16"/>
          <w:szCs w:val="16"/>
        </w:rPr>
      </w:pPr>
    </w:p>
    <w:tbl>
      <w:tblPr>
        <w:tblW w:w="4942"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8"/>
      </w:tblGrid>
      <w:tr w:rsidR="00645256" w:rsidRPr="00BC6FEA" w:rsidTr="0072121B">
        <w:tc>
          <w:tcPr>
            <w:tcW w:w="5000" w:type="pct"/>
            <w:shd w:val="clear" w:color="auto" w:fill="C6D9F1" w:themeFill="text2" w:themeFillTint="33"/>
          </w:tcPr>
          <w:p w:rsidR="00645256" w:rsidRPr="00BC6FEA" w:rsidRDefault="0072121B" w:rsidP="00507044">
            <w:pPr>
              <w:tabs>
                <w:tab w:val="left" w:pos="540"/>
              </w:tabs>
              <w:spacing w:before="40" w:after="40"/>
              <w:jc w:val="center"/>
              <w:rPr>
                <w:b/>
                <w:snapToGrid w:val="0"/>
              </w:rPr>
            </w:pPr>
            <w:r>
              <w:rPr>
                <w:b/>
                <w:snapToGrid w:val="0"/>
              </w:rPr>
              <w:lastRenderedPageBreak/>
              <w:t>Monitoring Requirements</w:t>
            </w:r>
          </w:p>
        </w:tc>
      </w:tr>
      <w:tr w:rsidR="0072121B" w:rsidRPr="00BC6FEA" w:rsidTr="0072121B">
        <w:tc>
          <w:tcPr>
            <w:tcW w:w="5000" w:type="pct"/>
            <w:tcBorders>
              <w:bottom w:val="single" w:sz="4" w:space="0" w:color="auto"/>
            </w:tcBorders>
          </w:tcPr>
          <w:p w:rsidR="0072121B" w:rsidRDefault="0072121B" w:rsidP="0072121B">
            <w:pPr>
              <w:rPr>
                <w:rFonts w:cs="Arial"/>
                <w:b/>
                <w:szCs w:val="20"/>
              </w:rPr>
            </w:pPr>
            <w:r w:rsidRPr="0072121B">
              <w:rPr>
                <w:rFonts w:cs="Arial"/>
                <w:b/>
                <w:szCs w:val="20"/>
              </w:rPr>
              <w:t>Monitoring schedule</w:t>
            </w:r>
            <w:r w:rsidR="00452CBB" w:rsidRPr="00452CBB">
              <w:rPr>
                <w:rFonts w:cs="Arial"/>
                <w:b/>
                <w:szCs w:val="20"/>
                <w:vertAlign w:val="superscript"/>
              </w:rPr>
              <w:t>2</w:t>
            </w:r>
          </w:p>
          <w:tbl>
            <w:tblPr>
              <w:tblW w:w="7796" w:type="dxa"/>
              <w:tblInd w:w="597" w:type="dxa"/>
              <w:tblLook w:val="04A0" w:firstRow="1" w:lastRow="0" w:firstColumn="1" w:lastColumn="0" w:noHBand="0" w:noVBand="1"/>
            </w:tblPr>
            <w:tblGrid>
              <w:gridCol w:w="2977"/>
              <w:gridCol w:w="1559"/>
              <w:gridCol w:w="3260"/>
            </w:tblGrid>
            <w:tr w:rsidR="0072121B" w:rsidRPr="0085305A" w:rsidTr="00170245">
              <w:trPr>
                <w:trHeight w:val="340"/>
              </w:trPr>
              <w:tc>
                <w:tcPr>
                  <w:tcW w:w="2977"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72121B" w:rsidRPr="0085305A" w:rsidRDefault="0072121B" w:rsidP="00507044">
                  <w:pPr>
                    <w:rPr>
                      <w:rFonts w:cs="Arial"/>
                      <w:color w:val="000000"/>
                      <w:szCs w:val="20"/>
                      <w:lang w:eastAsia="en-GB"/>
                    </w:rPr>
                  </w:pPr>
                  <w:r w:rsidRPr="0085305A">
                    <w:rPr>
                      <w:rFonts w:cs="Arial"/>
                      <w:color w:val="000000"/>
                      <w:szCs w:val="20"/>
                      <w:lang w:eastAsia="en-GB"/>
                    </w:rPr>
                    <w:t>Test</w:t>
                  </w:r>
                  <w:r w:rsidR="00C76F3C">
                    <w:rPr>
                      <w:rFonts w:cs="Arial"/>
                      <w:color w:val="000000"/>
                      <w:szCs w:val="20"/>
                      <w:lang w:eastAsia="en-GB"/>
                    </w:rPr>
                    <w:t>s</w:t>
                  </w:r>
                </w:p>
              </w:tc>
              <w:tc>
                <w:tcPr>
                  <w:tcW w:w="1559" w:type="dxa"/>
                  <w:tcBorders>
                    <w:top w:val="single" w:sz="4" w:space="0" w:color="auto"/>
                    <w:left w:val="nil"/>
                    <w:bottom w:val="single" w:sz="4" w:space="0" w:color="auto"/>
                    <w:right w:val="single" w:sz="4" w:space="0" w:color="auto"/>
                  </w:tcBorders>
                  <w:shd w:val="clear" w:color="000000" w:fill="B8CCE4"/>
                  <w:noWrap/>
                  <w:vAlign w:val="bottom"/>
                  <w:hideMark/>
                </w:tcPr>
                <w:p w:rsidR="0072121B" w:rsidRPr="0085305A" w:rsidRDefault="0072121B" w:rsidP="00507044">
                  <w:pPr>
                    <w:rPr>
                      <w:rFonts w:cs="Arial"/>
                      <w:color w:val="000000"/>
                      <w:szCs w:val="20"/>
                      <w:lang w:eastAsia="en-GB"/>
                    </w:rPr>
                  </w:pPr>
                  <w:r w:rsidRPr="0085305A">
                    <w:rPr>
                      <w:rFonts w:cs="Arial"/>
                      <w:color w:val="000000"/>
                      <w:szCs w:val="20"/>
                      <w:lang w:eastAsia="en-GB"/>
                    </w:rPr>
                    <w:t>Frequency</w:t>
                  </w:r>
                </w:p>
              </w:tc>
              <w:tc>
                <w:tcPr>
                  <w:tcW w:w="3260"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72121B" w:rsidRPr="0085305A" w:rsidRDefault="0072121B" w:rsidP="00507044">
                  <w:pPr>
                    <w:rPr>
                      <w:rFonts w:cs="Arial"/>
                      <w:color w:val="000000"/>
                      <w:szCs w:val="20"/>
                      <w:lang w:eastAsia="en-GB"/>
                    </w:rPr>
                  </w:pPr>
                  <w:r w:rsidRPr="0085305A">
                    <w:rPr>
                      <w:rFonts w:cs="Arial"/>
                      <w:color w:val="000000"/>
                      <w:szCs w:val="20"/>
                      <w:lang w:eastAsia="en-GB"/>
                    </w:rPr>
                    <w:t>Duration</w:t>
                  </w:r>
                </w:p>
              </w:tc>
            </w:tr>
            <w:tr w:rsidR="00C76F3C" w:rsidRPr="0085305A" w:rsidTr="00C76F3C">
              <w:trPr>
                <w:trHeight w:val="340"/>
              </w:trPr>
              <w:tc>
                <w:tcPr>
                  <w:tcW w:w="2977" w:type="dxa"/>
                  <w:vMerge w:val="restart"/>
                  <w:tcBorders>
                    <w:top w:val="single" w:sz="4" w:space="0" w:color="auto"/>
                    <w:left w:val="single" w:sz="4" w:space="0" w:color="auto"/>
                    <w:right w:val="single" w:sz="4" w:space="0" w:color="auto"/>
                  </w:tcBorders>
                  <w:shd w:val="clear" w:color="auto" w:fill="auto"/>
                  <w:vAlign w:val="center"/>
                  <w:hideMark/>
                </w:tcPr>
                <w:p w:rsidR="00C76F3C" w:rsidRPr="00C76F3C" w:rsidRDefault="00C76F3C" w:rsidP="00C76F3C">
                  <w:pPr>
                    <w:pStyle w:val="ListParagraph"/>
                    <w:numPr>
                      <w:ilvl w:val="0"/>
                      <w:numId w:val="42"/>
                    </w:numPr>
                    <w:ind w:left="459"/>
                    <w:rPr>
                      <w:rFonts w:cs="Arial"/>
                      <w:color w:val="000000"/>
                      <w:szCs w:val="20"/>
                      <w:lang w:eastAsia="en-GB"/>
                    </w:rPr>
                  </w:pPr>
                  <w:r w:rsidRPr="00C76F3C">
                    <w:rPr>
                      <w:rFonts w:cs="Arial"/>
                      <w:color w:val="000000"/>
                      <w:szCs w:val="20"/>
                      <w:lang w:eastAsia="en-GB"/>
                    </w:rPr>
                    <w:t>FBC</w:t>
                  </w:r>
                </w:p>
                <w:p w:rsidR="00C76F3C" w:rsidRPr="00C76F3C" w:rsidRDefault="00C76F3C" w:rsidP="00C76F3C">
                  <w:pPr>
                    <w:pStyle w:val="ListParagraph"/>
                    <w:numPr>
                      <w:ilvl w:val="0"/>
                      <w:numId w:val="42"/>
                    </w:numPr>
                    <w:ind w:left="459"/>
                    <w:rPr>
                      <w:rFonts w:cs="Arial"/>
                      <w:color w:val="000000"/>
                      <w:szCs w:val="20"/>
                      <w:lang w:eastAsia="en-GB"/>
                    </w:rPr>
                  </w:pPr>
                  <w:r w:rsidRPr="00C76F3C">
                    <w:rPr>
                      <w:rFonts w:cs="Arial"/>
                      <w:color w:val="000000"/>
                      <w:szCs w:val="20"/>
                      <w:lang w:eastAsia="en-GB"/>
                    </w:rPr>
                    <w:t>Creatinine/ calculated GFR</w:t>
                  </w:r>
                </w:p>
                <w:p w:rsidR="00C76F3C" w:rsidRPr="00C76F3C" w:rsidRDefault="00C76F3C" w:rsidP="00C76F3C">
                  <w:pPr>
                    <w:pStyle w:val="ListParagraph"/>
                    <w:numPr>
                      <w:ilvl w:val="0"/>
                      <w:numId w:val="42"/>
                    </w:numPr>
                    <w:ind w:left="459"/>
                    <w:rPr>
                      <w:rFonts w:cs="Arial"/>
                      <w:color w:val="000000"/>
                      <w:szCs w:val="20"/>
                      <w:lang w:eastAsia="en-GB"/>
                    </w:rPr>
                  </w:pPr>
                  <w:r w:rsidRPr="00C76F3C">
                    <w:rPr>
                      <w:rFonts w:cs="Arial"/>
                      <w:color w:val="000000"/>
                      <w:szCs w:val="20"/>
                      <w:lang w:eastAsia="en-GB"/>
                    </w:rPr>
                    <w:t>ALT and / or AST</w:t>
                  </w:r>
                </w:p>
                <w:p w:rsidR="00C76F3C" w:rsidRPr="00C76F3C" w:rsidRDefault="00C76F3C" w:rsidP="00C76F3C">
                  <w:pPr>
                    <w:pStyle w:val="ListParagraph"/>
                    <w:numPr>
                      <w:ilvl w:val="0"/>
                      <w:numId w:val="42"/>
                    </w:numPr>
                    <w:ind w:left="459"/>
                    <w:rPr>
                      <w:rFonts w:cs="Arial"/>
                      <w:color w:val="000000"/>
                      <w:szCs w:val="20"/>
                      <w:lang w:eastAsia="en-GB"/>
                    </w:rPr>
                  </w:pPr>
                  <w:r w:rsidRPr="00C76F3C">
                    <w:rPr>
                      <w:rFonts w:cs="Arial"/>
                      <w:color w:val="000000"/>
                      <w:szCs w:val="20"/>
                      <w:lang w:eastAsia="en-GB"/>
                    </w:rPr>
                    <w:t>Albumin</w:t>
                  </w:r>
                </w:p>
              </w:tc>
              <w:tc>
                <w:tcPr>
                  <w:tcW w:w="1559" w:type="dxa"/>
                  <w:tcBorders>
                    <w:top w:val="nil"/>
                    <w:left w:val="nil"/>
                    <w:bottom w:val="single" w:sz="4" w:space="0" w:color="auto"/>
                    <w:right w:val="single" w:sz="4" w:space="0" w:color="auto"/>
                  </w:tcBorders>
                  <w:shd w:val="clear" w:color="auto" w:fill="auto"/>
                  <w:noWrap/>
                  <w:vAlign w:val="center"/>
                  <w:hideMark/>
                </w:tcPr>
                <w:p w:rsidR="00C76F3C" w:rsidRPr="0085305A" w:rsidRDefault="00C76F3C" w:rsidP="00C76F3C">
                  <w:pPr>
                    <w:rPr>
                      <w:rFonts w:cs="Arial"/>
                      <w:color w:val="000000"/>
                      <w:szCs w:val="20"/>
                      <w:lang w:eastAsia="en-GB"/>
                    </w:rPr>
                  </w:pPr>
                  <w:r w:rsidRPr="0085305A">
                    <w:rPr>
                      <w:rFonts w:cs="Arial"/>
                      <w:color w:val="000000"/>
                      <w:szCs w:val="20"/>
                      <w:lang w:eastAsia="en-GB"/>
                    </w:rPr>
                    <w:t>Every 2 weeks</w:t>
                  </w:r>
                </w:p>
              </w:tc>
              <w:tc>
                <w:tcPr>
                  <w:tcW w:w="3260" w:type="dxa"/>
                  <w:tcBorders>
                    <w:top w:val="nil"/>
                    <w:left w:val="nil"/>
                    <w:bottom w:val="single" w:sz="4" w:space="0" w:color="auto"/>
                    <w:right w:val="single" w:sz="4" w:space="0" w:color="auto"/>
                  </w:tcBorders>
                  <w:shd w:val="clear" w:color="auto" w:fill="auto"/>
                  <w:vAlign w:val="center"/>
                  <w:hideMark/>
                </w:tcPr>
                <w:p w:rsidR="00C76F3C" w:rsidRPr="0085305A" w:rsidRDefault="00C76F3C" w:rsidP="00C76F3C">
                  <w:pPr>
                    <w:rPr>
                      <w:rFonts w:cs="Arial"/>
                      <w:color w:val="000000"/>
                      <w:szCs w:val="20"/>
                      <w:lang w:eastAsia="en-GB"/>
                    </w:rPr>
                  </w:pPr>
                  <w:r w:rsidRPr="0085305A">
                    <w:rPr>
                      <w:rFonts w:cs="Arial"/>
                      <w:color w:val="000000"/>
                      <w:szCs w:val="20"/>
                      <w:lang w:eastAsia="en-GB"/>
                    </w:rPr>
                    <w:t xml:space="preserve">For first </w:t>
                  </w:r>
                  <w:r>
                    <w:rPr>
                      <w:rFonts w:cs="Arial"/>
                      <w:color w:val="000000"/>
                      <w:szCs w:val="20"/>
                      <w:lang w:eastAsia="en-GB"/>
                    </w:rPr>
                    <w:t xml:space="preserve">six weeks and </w:t>
                  </w:r>
                  <w:r w:rsidRPr="0085305A">
                    <w:rPr>
                      <w:rFonts w:cs="Arial"/>
                      <w:color w:val="000000"/>
                      <w:szCs w:val="20"/>
                      <w:lang w:eastAsia="en-GB"/>
                    </w:rPr>
                    <w:t>until on stable dose for 6 weeks</w:t>
                  </w:r>
                </w:p>
              </w:tc>
            </w:tr>
            <w:tr w:rsidR="00C76F3C" w:rsidRPr="0085305A" w:rsidTr="00C76F3C">
              <w:trPr>
                <w:trHeight w:val="340"/>
              </w:trPr>
              <w:tc>
                <w:tcPr>
                  <w:tcW w:w="2977" w:type="dxa"/>
                  <w:vMerge/>
                  <w:tcBorders>
                    <w:left w:val="single" w:sz="4" w:space="0" w:color="auto"/>
                    <w:right w:val="single" w:sz="4" w:space="0" w:color="auto"/>
                  </w:tcBorders>
                  <w:shd w:val="clear" w:color="auto" w:fill="auto"/>
                  <w:vAlign w:val="bottom"/>
                  <w:hideMark/>
                </w:tcPr>
                <w:p w:rsidR="00C76F3C" w:rsidRPr="0085305A" w:rsidRDefault="00C76F3C" w:rsidP="00507044">
                  <w:pPr>
                    <w:rPr>
                      <w:rFonts w:cs="Arial"/>
                      <w:color w:val="00000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hideMark/>
                </w:tcPr>
                <w:p w:rsidR="00C76F3C" w:rsidRPr="0085305A" w:rsidRDefault="00C76F3C" w:rsidP="00C76F3C">
                  <w:pPr>
                    <w:rPr>
                      <w:rFonts w:cs="Arial"/>
                      <w:color w:val="000000"/>
                      <w:szCs w:val="20"/>
                      <w:lang w:eastAsia="en-GB"/>
                    </w:rPr>
                  </w:pPr>
                  <w:r>
                    <w:rPr>
                      <w:rFonts w:cs="Arial"/>
                      <w:color w:val="000000"/>
                      <w:szCs w:val="20"/>
                      <w:lang w:eastAsia="en-GB"/>
                    </w:rPr>
                    <w:t>3 monthly</w:t>
                  </w:r>
                </w:p>
              </w:tc>
              <w:tc>
                <w:tcPr>
                  <w:tcW w:w="3260" w:type="dxa"/>
                  <w:tcBorders>
                    <w:top w:val="nil"/>
                    <w:left w:val="nil"/>
                    <w:bottom w:val="single" w:sz="4" w:space="0" w:color="auto"/>
                    <w:right w:val="single" w:sz="4" w:space="0" w:color="auto"/>
                  </w:tcBorders>
                  <w:shd w:val="clear" w:color="auto" w:fill="auto"/>
                  <w:vAlign w:val="center"/>
                  <w:hideMark/>
                </w:tcPr>
                <w:p w:rsidR="00C76F3C" w:rsidRPr="0085305A" w:rsidRDefault="00C76F3C" w:rsidP="00C76F3C">
                  <w:pPr>
                    <w:rPr>
                      <w:rFonts w:cs="Arial"/>
                      <w:color w:val="000000"/>
                      <w:szCs w:val="20"/>
                      <w:lang w:eastAsia="en-GB"/>
                    </w:rPr>
                  </w:pPr>
                  <w:r>
                    <w:rPr>
                      <w:rFonts w:cs="Arial"/>
                      <w:color w:val="000000"/>
                      <w:szCs w:val="20"/>
                      <w:lang w:eastAsia="en-GB"/>
                    </w:rPr>
                    <w:t>For the remainder of the first year</w:t>
                  </w:r>
                </w:p>
              </w:tc>
            </w:tr>
            <w:tr w:rsidR="00C76F3C" w:rsidRPr="0085305A" w:rsidTr="00C76F3C">
              <w:trPr>
                <w:trHeight w:val="340"/>
              </w:trPr>
              <w:tc>
                <w:tcPr>
                  <w:tcW w:w="2977" w:type="dxa"/>
                  <w:vMerge/>
                  <w:tcBorders>
                    <w:left w:val="single" w:sz="4" w:space="0" w:color="auto"/>
                    <w:bottom w:val="single" w:sz="4" w:space="0" w:color="auto"/>
                    <w:right w:val="single" w:sz="4" w:space="0" w:color="auto"/>
                  </w:tcBorders>
                  <w:shd w:val="clear" w:color="auto" w:fill="auto"/>
                  <w:vAlign w:val="bottom"/>
                  <w:hideMark/>
                </w:tcPr>
                <w:p w:rsidR="00C76F3C" w:rsidRPr="0085305A" w:rsidRDefault="00C76F3C" w:rsidP="00507044">
                  <w:pPr>
                    <w:rPr>
                      <w:rFonts w:cs="Arial"/>
                      <w:color w:val="00000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hideMark/>
                </w:tcPr>
                <w:p w:rsidR="00C76F3C" w:rsidRPr="0085305A" w:rsidRDefault="00C76F3C" w:rsidP="00C76F3C">
                  <w:pPr>
                    <w:rPr>
                      <w:rFonts w:cs="Arial"/>
                      <w:color w:val="000000"/>
                      <w:szCs w:val="20"/>
                      <w:lang w:eastAsia="en-GB"/>
                    </w:rPr>
                  </w:pPr>
                  <w:r>
                    <w:rPr>
                      <w:rFonts w:cs="Arial"/>
                      <w:color w:val="000000"/>
                      <w:szCs w:val="20"/>
                      <w:lang w:eastAsia="en-GB"/>
                    </w:rPr>
                    <w:t>6-12 monthly*</w:t>
                  </w:r>
                </w:p>
              </w:tc>
              <w:tc>
                <w:tcPr>
                  <w:tcW w:w="3260" w:type="dxa"/>
                  <w:tcBorders>
                    <w:top w:val="nil"/>
                    <w:left w:val="nil"/>
                    <w:bottom w:val="single" w:sz="4" w:space="0" w:color="auto"/>
                    <w:right w:val="single" w:sz="4" w:space="0" w:color="auto"/>
                  </w:tcBorders>
                  <w:shd w:val="clear" w:color="auto" w:fill="auto"/>
                  <w:vAlign w:val="center"/>
                  <w:hideMark/>
                </w:tcPr>
                <w:p w:rsidR="00C76F3C" w:rsidRPr="0085305A" w:rsidRDefault="00C76F3C" w:rsidP="00C76F3C">
                  <w:pPr>
                    <w:rPr>
                      <w:rFonts w:cs="Arial"/>
                      <w:color w:val="000000"/>
                      <w:szCs w:val="20"/>
                      <w:lang w:eastAsia="en-GB"/>
                    </w:rPr>
                  </w:pPr>
                  <w:r w:rsidRPr="0085305A">
                    <w:rPr>
                      <w:rFonts w:cs="Arial"/>
                      <w:color w:val="000000"/>
                      <w:szCs w:val="20"/>
                      <w:lang w:eastAsia="en-GB"/>
                    </w:rPr>
                    <w:t>To continue</w:t>
                  </w:r>
                </w:p>
              </w:tc>
            </w:tr>
          </w:tbl>
          <w:p w:rsidR="0072121B" w:rsidRPr="00D37B9C" w:rsidRDefault="00D37B9C" w:rsidP="00D37B9C">
            <w:pPr>
              <w:rPr>
                <w:rFonts w:cs="Arial"/>
                <w:szCs w:val="20"/>
              </w:rPr>
            </w:pPr>
            <w:proofErr w:type="gramStart"/>
            <w:r>
              <w:rPr>
                <w:rFonts w:cs="Arial"/>
                <w:szCs w:val="20"/>
              </w:rPr>
              <w:t>*</w:t>
            </w:r>
            <w:r w:rsidRPr="00D37B9C">
              <w:rPr>
                <w:rFonts w:cs="Arial"/>
                <w:szCs w:val="20"/>
              </w:rPr>
              <w:t xml:space="preserve">Depending on the individual patient and </w:t>
            </w:r>
            <w:r>
              <w:rPr>
                <w:rFonts w:cs="Arial"/>
                <w:szCs w:val="20"/>
              </w:rPr>
              <w:t>concurrent medications.</w:t>
            </w:r>
            <w:proofErr w:type="gramEnd"/>
          </w:p>
          <w:p w:rsidR="00D37B9C" w:rsidRDefault="00D37B9C" w:rsidP="0072121B">
            <w:pPr>
              <w:tabs>
                <w:tab w:val="left" w:pos="540"/>
              </w:tabs>
              <w:spacing w:before="40" w:after="40"/>
              <w:rPr>
                <w:rFonts w:cs="Arial"/>
                <w:b/>
                <w:szCs w:val="20"/>
              </w:rPr>
            </w:pPr>
          </w:p>
          <w:p w:rsidR="0072121B" w:rsidRDefault="0072121B" w:rsidP="0072121B">
            <w:pPr>
              <w:tabs>
                <w:tab w:val="left" w:pos="540"/>
              </w:tabs>
              <w:spacing w:before="40" w:after="40"/>
              <w:rPr>
                <w:rFonts w:cs="Arial"/>
                <w:b/>
                <w:szCs w:val="20"/>
              </w:rPr>
            </w:pPr>
            <w:r w:rsidRPr="0072121B">
              <w:rPr>
                <w:rFonts w:cs="Arial"/>
                <w:b/>
                <w:szCs w:val="20"/>
              </w:rPr>
              <w:t>Contact specialist team urgently and consider interruption in treatment if any of the following develop:</w:t>
            </w:r>
          </w:p>
          <w:tbl>
            <w:tblPr>
              <w:tblW w:w="7796" w:type="dxa"/>
              <w:tblInd w:w="597" w:type="dxa"/>
              <w:tblLook w:val="04A0" w:firstRow="1" w:lastRow="0" w:firstColumn="1" w:lastColumn="0" w:noHBand="0" w:noVBand="1"/>
            </w:tblPr>
            <w:tblGrid>
              <w:gridCol w:w="3544"/>
              <w:gridCol w:w="4252"/>
            </w:tblGrid>
            <w:tr w:rsidR="0072121B" w:rsidRPr="0072121B" w:rsidTr="0017024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121B" w:rsidRPr="0072121B" w:rsidRDefault="0072121B" w:rsidP="00507044">
                  <w:pPr>
                    <w:rPr>
                      <w:rFonts w:cs="Arial"/>
                      <w:color w:val="000000"/>
                      <w:szCs w:val="20"/>
                      <w:lang w:eastAsia="en-GB"/>
                    </w:rPr>
                  </w:pPr>
                  <w:r w:rsidRPr="0072121B">
                    <w:rPr>
                      <w:rFonts w:cs="Arial"/>
                      <w:color w:val="000000"/>
                      <w:szCs w:val="20"/>
                      <w:lang w:eastAsia="en-GB"/>
                    </w:rPr>
                    <w:t>White Cell Count &lt;3.5x10</w:t>
                  </w:r>
                  <w:r w:rsidRPr="0072121B">
                    <w:rPr>
                      <w:rFonts w:cs="Arial"/>
                      <w:color w:val="000000"/>
                      <w:szCs w:val="20"/>
                      <w:vertAlign w:val="superscript"/>
                      <w:lang w:eastAsia="en-GB"/>
                    </w:rPr>
                    <w:t>9</w:t>
                  </w:r>
                  <w:r w:rsidRPr="0072121B">
                    <w:rPr>
                      <w:rFonts w:cs="Arial"/>
                      <w:color w:val="000000"/>
                      <w:szCs w:val="20"/>
                      <w:lang w:eastAsia="en-GB"/>
                    </w:rPr>
                    <w:t>/l</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2121B" w:rsidRPr="0072121B" w:rsidRDefault="0072121B" w:rsidP="00507044">
                  <w:pPr>
                    <w:rPr>
                      <w:rFonts w:cs="Arial"/>
                      <w:color w:val="000000"/>
                      <w:szCs w:val="20"/>
                      <w:lang w:eastAsia="en-GB"/>
                    </w:rPr>
                  </w:pPr>
                  <w:r w:rsidRPr="0072121B">
                    <w:rPr>
                      <w:rFonts w:cs="Arial"/>
                      <w:color w:val="000000"/>
                      <w:szCs w:val="20"/>
                      <w:lang w:eastAsia="en-GB"/>
                    </w:rPr>
                    <w:t>Mean cell volume &gt;105 f/l</w:t>
                  </w:r>
                </w:p>
              </w:tc>
            </w:tr>
            <w:tr w:rsidR="0072121B" w:rsidRPr="0072121B" w:rsidTr="00170245">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21B" w:rsidRPr="0072121B" w:rsidRDefault="0072121B" w:rsidP="00507044">
                  <w:pPr>
                    <w:rPr>
                      <w:rFonts w:cs="Arial"/>
                      <w:color w:val="000000"/>
                      <w:szCs w:val="20"/>
                      <w:lang w:eastAsia="en-GB"/>
                    </w:rPr>
                  </w:pPr>
                  <w:r w:rsidRPr="0072121B">
                    <w:rPr>
                      <w:rFonts w:cs="Arial"/>
                      <w:color w:val="000000"/>
                      <w:szCs w:val="20"/>
                      <w:lang w:eastAsia="en-GB"/>
                    </w:rPr>
                    <w:t>Neutrophils &lt;1.6 x10</w:t>
                  </w:r>
                  <w:r w:rsidRPr="0072121B">
                    <w:rPr>
                      <w:rFonts w:cs="Arial"/>
                      <w:color w:val="000000"/>
                      <w:szCs w:val="20"/>
                      <w:vertAlign w:val="superscript"/>
                      <w:lang w:eastAsia="en-GB"/>
                    </w:rPr>
                    <w:t>9</w:t>
                  </w:r>
                  <w:r w:rsidRPr="0072121B">
                    <w:rPr>
                      <w:rFonts w:cs="Arial"/>
                      <w:color w:val="000000"/>
                      <w:szCs w:val="20"/>
                      <w:lang w:eastAsia="en-GB"/>
                    </w:rPr>
                    <w:t xml:space="preserve">/l </w:t>
                  </w:r>
                </w:p>
              </w:tc>
              <w:tc>
                <w:tcPr>
                  <w:tcW w:w="4252" w:type="dxa"/>
                  <w:tcBorders>
                    <w:top w:val="nil"/>
                    <w:left w:val="nil"/>
                    <w:bottom w:val="single" w:sz="4" w:space="0" w:color="auto"/>
                    <w:right w:val="single" w:sz="4" w:space="0" w:color="auto"/>
                  </w:tcBorders>
                  <w:shd w:val="clear" w:color="auto" w:fill="auto"/>
                  <w:vAlign w:val="bottom"/>
                  <w:hideMark/>
                </w:tcPr>
                <w:p w:rsidR="0072121B" w:rsidRPr="0072121B" w:rsidRDefault="0072121B" w:rsidP="00507044">
                  <w:pPr>
                    <w:rPr>
                      <w:rFonts w:cs="Arial"/>
                      <w:color w:val="000000"/>
                      <w:szCs w:val="20"/>
                      <w:lang w:eastAsia="en-GB"/>
                    </w:rPr>
                  </w:pPr>
                  <w:r w:rsidRPr="0072121B">
                    <w:rPr>
                      <w:rFonts w:cs="Arial"/>
                      <w:color w:val="000000"/>
                      <w:szCs w:val="20"/>
                      <w:lang w:eastAsia="en-GB"/>
                    </w:rPr>
                    <w:t>Creatinine increase &gt;30% over 12 months and/or calculated GFR &lt;60ml/min/1.73m</w:t>
                  </w:r>
                  <w:r w:rsidRPr="0072121B">
                    <w:rPr>
                      <w:rFonts w:cs="Arial"/>
                      <w:color w:val="000000"/>
                      <w:szCs w:val="20"/>
                      <w:vertAlign w:val="superscript"/>
                      <w:lang w:eastAsia="en-GB"/>
                    </w:rPr>
                    <w:t>2</w:t>
                  </w:r>
                </w:p>
              </w:tc>
            </w:tr>
            <w:tr w:rsidR="0072121B" w:rsidRPr="0072121B" w:rsidTr="0017024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2121B" w:rsidRPr="0072121B" w:rsidRDefault="0072121B" w:rsidP="00507044">
                  <w:pPr>
                    <w:rPr>
                      <w:rFonts w:cs="Arial"/>
                      <w:color w:val="000000"/>
                      <w:szCs w:val="20"/>
                      <w:lang w:eastAsia="en-GB"/>
                    </w:rPr>
                  </w:pPr>
                  <w:r w:rsidRPr="0072121B">
                    <w:rPr>
                      <w:rFonts w:cs="Arial"/>
                      <w:color w:val="000000"/>
                      <w:szCs w:val="20"/>
                      <w:lang w:eastAsia="en-GB"/>
                    </w:rPr>
                    <w:t>Unexplained eosinophilia &gt;0.5 x 10</w:t>
                  </w:r>
                  <w:r w:rsidRPr="0072121B">
                    <w:rPr>
                      <w:rFonts w:cs="Arial"/>
                      <w:color w:val="000000"/>
                      <w:szCs w:val="20"/>
                      <w:vertAlign w:val="superscript"/>
                      <w:lang w:eastAsia="en-GB"/>
                    </w:rPr>
                    <w:t>9</w:t>
                  </w:r>
                  <w:r w:rsidRPr="0072121B">
                    <w:rPr>
                      <w:rFonts w:cs="Arial"/>
                      <w:color w:val="000000"/>
                      <w:szCs w:val="20"/>
                      <w:lang w:eastAsia="en-GB"/>
                    </w:rPr>
                    <w:t xml:space="preserve">/l </w:t>
                  </w:r>
                </w:p>
              </w:tc>
              <w:tc>
                <w:tcPr>
                  <w:tcW w:w="4252" w:type="dxa"/>
                  <w:tcBorders>
                    <w:top w:val="nil"/>
                    <w:left w:val="nil"/>
                    <w:bottom w:val="single" w:sz="4" w:space="0" w:color="auto"/>
                    <w:right w:val="single" w:sz="4" w:space="0" w:color="auto"/>
                  </w:tcBorders>
                  <w:shd w:val="clear" w:color="auto" w:fill="auto"/>
                  <w:noWrap/>
                  <w:vAlign w:val="bottom"/>
                  <w:hideMark/>
                </w:tcPr>
                <w:p w:rsidR="0072121B" w:rsidRPr="0072121B" w:rsidRDefault="0072121B" w:rsidP="00507044">
                  <w:pPr>
                    <w:rPr>
                      <w:rFonts w:cs="Arial"/>
                      <w:color w:val="000000"/>
                      <w:szCs w:val="20"/>
                      <w:lang w:eastAsia="en-GB"/>
                    </w:rPr>
                  </w:pPr>
                  <w:r w:rsidRPr="0072121B">
                    <w:rPr>
                      <w:rFonts w:cs="Arial"/>
                      <w:color w:val="000000"/>
                      <w:szCs w:val="20"/>
                      <w:lang w:eastAsia="en-GB"/>
                    </w:rPr>
                    <w:t>ALT and/or AST &gt;100 U/l</w:t>
                  </w:r>
                </w:p>
              </w:tc>
            </w:tr>
            <w:tr w:rsidR="0072121B" w:rsidRPr="0072121B" w:rsidTr="0017024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121B" w:rsidRPr="0072121B" w:rsidRDefault="0072121B" w:rsidP="00507044">
                  <w:pPr>
                    <w:rPr>
                      <w:rFonts w:cs="Arial"/>
                      <w:color w:val="000000"/>
                      <w:szCs w:val="20"/>
                      <w:lang w:eastAsia="en-GB"/>
                    </w:rPr>
                  </w:pPr>
                  <w:r w:rsidRPr="0072121B">
                    <w:rPr>
                      <w:rFonts w:cs="Arial"/>
                      <w:color w:val="000000"/>
                      <w:szCs w:val="20"/>
                      <w:lang w:eastAsia="en-GB"/>
                    </w:rPr>
                    <w:t>Platelet count &lt;140 x10</w:t>
                  </w:r>
                  <w:r w:rsidRPr="0072121B">
                    <w:rPr>
                      <w:rFonts w:cs="Arial"/>
                      <w:color w:val="000000"/>
                      <w:szCs w:val="20"/>
                      <w:vertAlign w:val="superscript"/>
                      <w:lang w:eastAsia="en-GB"/>
                    </w:rPr>
                    <w:t>9</w:t>
                  </w:r>
                  <w:r w:rsidRPr="0072121B">
                    <w:rPr>
                      <w:rFonts w:cs="Arial"/>
                      <w:color w:val="000000"/>
                      <w:szCs w:val="20"/>
                      <w:lang w:eastAsia="en-GB"/>
                    </w:rPr>
                    <w:t xml:space="preserve">/l </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72121B" w:rsidRPr="0072121B" w:rsidRDefault="0072121B" w:rsidP="00507044">
                  <w:pPr>
                    <w:rPr>
                      <w:rFonts w:cs="Arial"/>
                      <w:color w:val="000000"/>
                      <w:szCs w:val="20"/>
                      <w:lang w:eastAsia="en-GB"/>
                    </w:rPr>
                  </w:pPr>
                  <w:r w:rsidRPr="0072121B">
                    <w:rPr>
                      <w:rFonts w:cs="Arial"/>
                      <w:color w:val="000000"/>
                      <w:szCs w:val="20"/>
                      <w:lang w:eastAsia="en-GB"/>
                    </w:rPr>
                    <w:t>Unexplained reduction in albumin &lt;30 g/l</w:t>
                  </w:r>
                </w:p>
              </w:tc>
            </w:tr>
          </w:tbl>
          <w:p w:rsidR="0072121B" w:rsidRDefault="0072121B" w:rsidP="0072121B">
            <w:pPr>
              <w:tabs>
                <w:tab w:val="left" w:pos="540"/>
              </w:tabs>
              <w:spacing w:before="40" w:after="40"/>
              <w:rPr>
                <w:rFonts w:cs="Arial"/>
                <w:b/>
                <w:szCs w:val="20"/>
              </w:rPr>
            </w:pPr>
          </w:p>
          <w:p w:rsidR="0072121B" w:rsidRDefault="0072121B" w:rsidP="0072121B">
            <w:pPr>
              <w:pStyle w:val="caj1"/>
              <w:spacing w:before="120"/>
              <w:rPr>
                <w:rFonts w:ascii="Arial" w:hAnsi="Arial" w:cs="Arial"/>
                <w:sz w:val="20"/>
                <w:szCs w:val="20"/>
                <w:lang w:val="en"/>
              </w:rPr>
            </w:pPr>
            <w:r w:rsidRPr="0072121B">
              <w:rPr>
                <w:rFonts w:ascii="Arial" w:hAnsi="Arial" w:cs="Arial"/>
                <w:sz w:val="20"/>
                <w:szCs w:val="20"/>
                <w:lang w:val="en"/>
              </w:rPr>
              <w:t>Whilst absolute values are useful indicators, trends are equally important, and any rapid fall or consistent downward trend in any parameter warrants extra vigilance.</w:t>
            </w:r>
          </w:p>
          <w:p w:rsidR="00515ADB" w:rsidRDefault="00515ADB" w:rsidP="0072121B">
            <w:pPr>
              <w:tabs>
                <w:tab w:val="left" w:pos="540"/>
              </w:tabs>
              <w:spacing w:before="40" w:after="40"/>
              <w:rPr>
                <w:rFonts w:cs="Arial"/>
                <w:szCs w:val="20"/>
                <w:lang w:val="en"/>
              </w:rPr>
            </w:pPr>
          </w:p>
          <w:p w:rsidR="0072121B" w:rsidRPr="00BC6FEA" w:rsidRDefault="0072121B" w:rsidP="0072121B">
            <w:pPr>
              <w:tabs>
                <w:tab w:val="left" w:pos="540"/>
              </w:tabs>
              <w:spacing w:before="40" w:after="40"/>
              <w:rPr>
                <w:b/>
                <w:snapToGrid w:val="0"/>
              </w:rPr>
            </w:pPr>
            <w:r w:rsidRPr="0072121B">
              <w:rPr>
                <w:rFonts w:cs="Arial"/>
                <w:szCs w:val="20"/>
                <w:lang w:val="en"/>
              </w:rPr>
              <w:t>This list is not exhaustive; refer to the Summar</w:t>
            </w:r>
            <w:r w:rsidR="00C76F3C">
              <w:rPr>
                <w:rFonts w:cs="Arial"/>
                <w:szCs w:val="20"/>
                <w:lang w:val="en"/>
              </w:rPr>
              <w:t>y of Product Characteristics (S</w:t>
            </w:r>
            <w:r w:rsidRPr="0072121B">
              <w:rPr>
                <w:rFonts w:cs="Arial"/>
                <w:szCs w:val="20"/>
                <w:lang w:val="en"/>
              </w:rPr>
              <w:t>PC) or BNF for further guidance.</w:t>
            </w:r>
          </w:p>
        </w:tc>
      </w:tr>
      <w:tr w:rsidR="0072121B" w:rsidRPr="00BC6FEA" w:rsidTr="0072121B">
        <w:tc>
          <w:tcPr>
            <w:tcW w:w="5000" w:type="pct"/>
            <w:shd w:val="clear" w:color="auto" w:fill="C6D9F1" w:themeFill="text2" w:themeFillTint="33"/>
          </w:tcPr>
          <w:p w:rsidR="0072121B" w:rsidRPr="0072121B" w:rsidRDefault="0072121B" w:rsidP="0072121B">
            <w:pPr>
              <w:jc w:val="center"/>
              <w:rPr>
                <w:rFonts w:cs="Arial"/>
                <w:b/>
                <w:szCs w:val="20"/>
              </w:rPr>
            </w:pPr>
            <w:r>
              <w:rPr>
                <w:rFonts w:cs="Arial"/>
                <w:b/>
                <w:szCs w:val="20"/>
              </w:rPr>
              <w:t>Other Warning Signs</w:t>
            </w:r>
          </w:p>
        </w:tc>
      </w:tr>
      <w:tr w:rsidR="0072121B" w:rsidRPr="00BC6FEA" w:rsidTr="0072121B">
        <w:tc>
          <w:tcPr>
            <w:tcW w:w="5000" w:type="pct"/>
            <w:shd w:val="clear" w:color="auto" w:fill="FFFFFF" w:themeFill="background1"/>
          </w:tcPr>
          <w:p w:rsidR="00D65C11" w:rsidRPr="00885DF9" w:rsidRDefault="00D65C11" w:rsidP="00D65C11">
            <w:pPr>
              <w:pStyle w:val="ListParagraph"/>
              <w:numPr>
                <w:ilvl w:val="0"/>
                <w:numId w:val="40"/>
              </w:numPr>
              <w:ind w:left="360"/>
            </w:pPr>
            <w:r w:rsidRPr="00885DF9">
              <w:t>Steady decline in WBC or platelets even if within normal values: Withhold treatment and discuss with specialist service</w:t>
            </w:r>
          </w:p>
          <w:p w:rsidR="00D65C11" w:rsidRPr="001D1F5B" w:rsidRDefault="00D65C11" w:rsidP="00D65C11">
            <w:pPr>
              <w:pStyle w:val="ListParagraph"/>
              <w:numPr>
                <w:ilvl w:val="0"/>
                <w:numId w:val="39"/>
              </w:numPr>
              <w:ind w:left="360"/>
              <w:rPr>
                <w:rFonts w:cs="Arial"/>
                <w:b/>
              </w:rPr>
            </w:pPr>
            <w:r w:rsidRPr="00885DF9">
              <w:t>Abnormal bruising or bleeding, severe sore throat or mouth ulcers rash or itch, jaundice: Check FBC &amp; LFTs and withhold treatment until results available</w:t>
            </w:r>
          </w:p>
          <w:p w:rsidR="00D65C11" w:rsidRDefault="00D65C11" w:rsidP="0072121B">
            <w:pPr>
              <w:rPr>
                <w:rFonts w:cs="Arial"/>
                <w:szCs w:val="20"/>
                <w:lang w:val="en"/>
              </w:rPr>
            </w:pPr>
          </w:p>
          <w:p w:rsidR="0072121B" w:rsidRPr="0072121B" w:rsidRDefault="0072121B" w:rsidP="0072121B">
            <w:pPr>
              <w:rPr>
                <w:rFonts w:cs="Arial"/>
                <w:b/>
                <w:szCs w:val="20"/>
              </w:rPr>
            </w:pPr>
            <w:r w:rsidRPr="0072121B">
              <w:rPr>
                <w:rFonts w:cs="Arial"/>
                <w:szCs w:val="20"/>
                <w:lang w:val="en"/>
              </w:rPr>
              <w:t>This list is not exhaustive; refer to the Summar</w:t>
            </w:r>
            <w:r w:rsidR="00C76F3C">
              <w:rPr>
                <w:rFonts w:cs="Arial"/>
                <w:szCs w:val="20"/>
                <w:lang w:val="en"/>
              </w:rPr>
              <w:t>y of Product Characteristics (S</w:t>
            </w:r>
            <w:r w:rsidRPr="0072121B">
              <w:rPr>
                <w:rFonts w:cs="Arial"/>
                <w:szCs w:val="20"/>
                <w:lang w:val="en"/>
              </w:rPr>
              <w:t>PC) or BNF for further guidance.</w:t>
            </w:r>
          </w:p>
        </w:tc>
      </w:tr>
    </w:tbl>
    <w:p w:rsidR="00BB6C50" w:rsidRDefault="00BB6C50" w:rsidP="00645256">
      <w:pPr>
        <w:jc w:val="center"/>
        <w:rPr>
          <w:b/>
          <w:bCs/>
          <w:color w:val="FF0000"/>
          <w:sz w:val="26"/>
          <w:szCs w:val="26"/>
        </w:rPr>
        <w:sectPr w:rsidR="00BB6C50" w:rsidSect="00170245">
          <w:footerReference w:type="default" r:id="rId17"/>
          <w:pgSz w:w="11906" w:h="16838"/>
          <w:pgMar w:top="1440" w:right="1133" w:bottom="1440" w:left="1440" w:header="708" w:footer="708" w:gutter="0"/>
          <w:cols w:space="708"/>
          <w:docGrid w:linePitch="360"/>
        </w:sectPr>
      </w:pPr>
    </w:p>
    <w:p w:rsidR="00645256" w:rsidRPr="007E6A2E" w:rsidRDefault="00645256" w:rsidP="00645256">
      <w:pPr>
        <w:jc w:val="center"/>
        <w:rPr>
          <w:b/>
          <w:bCs/>
          <w:sz w:val="26"/>
          <w:szCs w:val="26"/>
        </w:rPr>
      </w:pPr>
      <w:r w:rsidRPr="007E6A2E">
        <w:rPr>
          <w:rFonts w:cs="Arial"/>
          <w:b/>
          <w:bCs/>
          <w:sz w:val="24"/>
          <w:szCs w:val="28"/>
          <w:u w:val="single"/>
        </w:rPr>
        <w:lastRenderedPageBreak/>
        <w:t>SHARED CARE GUIDELINE</w:t>
      </w:r>
    </w:p>
    <w:p w:rsidR="00645256" w:rsidRPr="007E6A2E" w:rsidRDefault="00645256" w:rsidP="00170245">
      <w:pPr>
        <w:pStyle w:val="Title"/>
        <w:spacing w:before="120" w:after="120"/>
        <w:jc w:val="left"/>
        <w:rPr>
          <w:rFonts w:cs="Arial"/>
          <w:bCs w:val="0"/>
          <w:sz w:val="24"/>
          <w:szCs w:val="28"/>
        </w:rPr>
      </w:pPr>
      <w:r w:rsidRPr="007E6A2E">
        <w:rPr>
          <w:rFonts w:cs="Arial"/>
          <w:bCs w:val="0"/>
          <w:sz w:val="24"/>
          <w:szCs w:val="28"/>
        </w:rPr>
        <w:t>MEDICATION NAME:</w:t>
      </w:r>
      <w:r w:rsidR="000F35D1">
        <w:rPr>
          <w:rFonts w:cs="Arial"/>
          <w:bCs w:val="0"/>
          <w:sz w:val="24"/>
          <w:szCs w:val="28"/>
        </w:rPr>
        <w:t xml:space="preserve"> Sulf</w:t>
      </w:r>
      <w:r w:rsidR="00D65C11">
        <w:rPr>
          <w:rFonts w:cs="Arial"/>
          <w:bCs w:val="0"/>
          <w:sz w:val="24"/>
          <w:szCs w:val="28"/>
        </w:rPr>
        <w:t>asalazine enteric coated tablets</w:t>
      </w:r>
      <w:r w:rsidRPr="007E6A2E">
        <w:rPr>
          <w:rFonts w:cs="Arial"/>
          <w:bCs w:val="0"/>
          <w:sz w:val="24"/>
          <w:szCs w:val="28"/>
        </w:rPr>
        <w:t xml:space="preserve"> </w:t>
      </w:r>
    </w:p>
    <w:p w:rsidR="00645256" w:rsidRPr="007E6A2E" w:rsidRDefault="00645256" w:rsidP="00170245">
      <w:pPr>
        <w:pStyle w:val="Title"/>
        <w:spacing w:before="120" w:after="120"/>
        <w:jc w:val="left"/>
        <w:rPr>
          <w:rFonts w:cs="Arial"/>
          <w:bCs w:val="0"/>
          <w:sz w:val="24"/>
          <w:szCs w:val="28"/>
        </w:rPr>
      </w:pPr>
      <w:r w:rsidRPr="007E6A2E">
        <w:rPr>
          <w:rFonts w:cs="Arial"/>
          <w:bCs w:val="0"/>
          <w:caps/>
          <w:sz w:val="24"/>
          <w:szCs w:val="28"/>
        </w:rPr>
        <w:t>Indication:</w:t>
      </w:r>
      <w:r w:rsidRPr="007E6A2E">
        <w:rPr>
          <w:rFonts w:cs="Arial"/>
          <w:b w:val="0"/>
          <w:bCs w:val="0"/>
          <w:sz w:val="24"/>
          <w:szCs w:val="28"/>
        </w:rPr>
        <w:t xml:space="preserve"> </w:t>
      </w:r>
      <w:r w:rsidR="00170245" w:rsidRPr="00BC6FEA">
        <w:rPr>
          <w:rFonts w:cs="Arial"/>
          <w:sz w:val="24"/>
        </w:rPr>
        <w:fldChar w:fldCharType="begin">
          <w:ffData>
            <w:name w:val=""/>
            <w:enabled/>
            <w:calcOnExit w:val="0"/>
            <w:textInput/>
          </w:ffData>
        </w:fldChar>
      </w:r>
      <w:r w:rsidR="00170245" w:rsidRPr="00BC6FEA">
        <w:rPr>
          <w:rFonts w:cs="Arial"/>
          <w:sz w:val="24"/>
        </w:rPr>
        <w:instrText xml:space="preserve"> FORMTEXT </w:instrText>
      </w:r>
      <w:r w:rsidR="00170245" w:rsidRPr="00BC6FEA">
        <w:rPr>
          <w:rFonts w:cs="Arial"/>
          <w:sz w:val="24"/>
        </w:rPr>
      </w:r>
      <w:r w:rsidR="00170245" w:rsidRPr="00BC6FEA">
        <w:rPr>
          <w:rFonts w:cs="Arial"/>
          <w:sz w:val="24"/>
        </w:rPr>
        <w:fldChar w:fldCharType="separate"/>
      </w:r>
      <w:r w:rsidR="00170245" w:rsidRPr="00BC6FEA">
        <w:rPr>
          <w:rFonts w:cs="Arial"/>
          <w:noProof/>
          <w:sz w:val="24"/>
        </w:rPr>
        <w:t> </w:t>
      </w:r>
      <w:r w:rsidR="00170245" w:rsidRPr="00BC6FEA">
        <w:rPr>
          <w:rFonts w:cs="Arial"/>
          <w:noProof/>
          <w:sz w:val="24"/>
        </w:rPr>
        <w:t> </w:t>
      </w:r>
      <w:r w:rsidR="00170245" w:rsidRPr="00BC6FEA">
        <w:rPr>
          <w:rFonts w:cs="Arial"/>
          <w:noProof/>
          <w:sz w:val="24"/>
        </w:rPr>
        <w:t> </w:t>
      </w:r>
      <w:r w:rsidR="00170245" w:rsidRPr="00BC6FEA">
        <w:rPr>
          <w:rFonts w:cs="Arial"/>
          <w:noProof/>
          <w:sz w:val="24"/>
        </w:rPr>
        <w:t> </w:t>
      </w:r>
      <w:r w:rsidR="00170245" w:rsidRPr="00BC6FEA">
        <w:rPr>
          <w:rFonts w:cs="Arial"/>
          <w:noProof/>
          <w:sz w:val="24"/>
        </w:rPr>
        <w:t> </w:t>
      </w:r>
      <w:r w:rsidR="00170245" w:rsidRPr="00BC6FEA">
        <w:rPr>
          <w:rFonts w:cs="Arial"/>
          <w:sz w:val="24"/>
        </w:rPr>
        <w:fldChar w:fldCharType="end"/>
      </w:r>
    </w:p>
    <w:p w:rsidR="00645256" w:rsidRPr="00BC6FEA" w:rsidRDefault="00645256" w:rsidP="00170245">
      <w:pPr>
        <w:pStyle w:val="Title"/>
        <w:spacing w:before="120" w:after="120"/>
        <w:jc w:val="left"/>
        <w:rPr>
          <w:rFonts w:cs="Arial"/>
          <w:b w:val="0"/>
          <w:bCs w:val="0"/>
          <w:sz w:val="24"/>
        </w:rPr>
      </w:pPr>
      <w:r w:rsidRPr="007E6A2E">
        <w:rPr>
          <w:rFonts w:cs="Arial"/>
          <w:sz w:val="24"/>
        </w:rPr>
        <w:t>DATE OF REQUEST:</w:t>
      </w:r>
      <w:r w:rsidRPr="00BC6FEA">
        <w:rPr>
          <w:rFonts w:cs="Arial"/>
          <w:sz w:val="24"/>
        </w:rPr>
        <w:fldChar w:fldCharType="begin">
          <w:ffData>
            <w:name w:val=""/>
            <w:enabled/>
            <w:calcOnExit w:val="0"/>
            <w:textInput/>
          </w:ffData>
        </w:fldChar>
      </w:r>
      <w:r w:rsidRPr="00BC6FEA">
        <w:rPr>
          <w:rFonts w:cs="Arial"/>
          <w:sz w:val="24"/>
        </w:rPr>
        <w:instrText xml:space="preserve"> FORMTEXT </w:instrText>
      </w:r>
      <w:r w:rsidRPr="00BC6FEA">
        <w:rPr>
          <w:rFonts w:cs="Arial"/>
          <w:sz w:val="24"/>
        </w:rPr>
      </w:r>
      <w:r w:rsidRPr="00BC6FEA">
        <w:rPr>
          <w:rFonts w:cs="Arial"/>
          <w:sz w:val="24"/>
        </w:rPr>
        <w:fldChar w:fldCharType="separate"/>
      </w:r>
      <w:r w:rsidRPr="00BC6FEA">
        <w:rPr>
          <w:rFonts w:cs="Arial"/>
          <w:noProof/>
          <w:sz w:val="24"/>
        </w:rPr>
        <w:t> </w:t>
      </w:r>
      <w:r w:rsidRPr="00BC6FEA">
        <w:rPr>
          <w:rFonts w:cs="Arial"/>
          <w:noProof/>
          <w:sz w:val="24"/>
        </w:rPr>
        <w:t> </w:t>
      </w:r>
      <w:r w:rsidRPr="00BC6FEA">
        <w:rPr>
          <w:rFonts w:cs="Arial"/>
          <w:noProof/>
          <w:sz w:val="24"/>
        </w:rPr>
        <w:t> </w:t>
      </w:r>
      <w:r w:rsidRPr="00BC6FEA">
        <w:rPr>
          <w:rFonts w:cs="Arial"/>
          <w:noProof/>
          <w:sz w:val="24"/>
        </w:rPr>
        <w:t> </w:t>
      </w:r>
      <w:r w:rsidRPr="00BC6FEA">
        <w:rPr>
          <w:rFonts w:cs="Arial"/>
          <w:noProof/>
          <w:sz w:val="24"/>
        </w:rPr>
        <w:t> </w:t>
      </w:r>
      <w:r w:rsidRPr="00BC6FEA">
        <w:rPr>
          <w:rFonts w:cs="Arial"/>
          <w:sz w:val="24"/>
        </w:rPr>
        <w:fldChar w:fldCharType="end"/>
      </w:r>
    </w:p>
    <w:p w:rsidR="00645256" w:rsidRPr="007E6A2E" w:rsidRDefault="00645256" w:rsidP="00645256">
      <w:pPr>
        <w:spacing w:after="120"/>
        <w:rPr>
          <w:b/>
          <w:bCs/>
          <w:sz w:val="8"/>
          <w:szCs w:val="8"/>
        </w:rPr>
      </w:pPr>
      <w:r w:rsidRPr="007E6A2E">
        <w:rPr>
          <w:b/>
          <w:bCs/>
          <w:sz w:val="24"/>
          <w:szCs w:val="26"/>
        </w:rPr>
        <w:t>Agreement to transfer prescribing to general practice or primary care prescriber: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7305"/>
      </w:tblGrid>
      <w:tr w:rsidR="00645256" w:rsidRPr="007E6A2E" w:rsidTr="00507044">
        <w:trPr>
          <w:trHeight w:val="1829"/>
        </w:trPr>
        <w:tc>
          <w:tcPr>
            <w:tcW w:w="2441" w:type="dxa"/>
            <w:tcBorders>
              <w:top w:val="nil"/>
              <w:left w:val="nil"/>
              <w:bottom w:val="nil"/>
              <w:right w:val="nil"/>
            </w:tcBorders>
          </w:tcPr>
          <w:p w:rsidR="00645256" w:rsidRPr="007E6A2E" w:rsidRDefault="00645256" w:rsidP="00507044">
            <w:pPr>
              <w:jc w:val="both"/>
              <w:rPr>
                <w:rFonts w:cs="Arial"/>
                <w:b/>
                <w:bCs/>
              </w:rPr>
            </w:pPr>
            <w:r w:rsidRPr="007E6A2E">
              <w:rPr>
                <w:rFonts w:cs="Arial"/>
                <w:b/>
                <w:bCs/>
              </w:rPr>
              <w:t>Patient details:</w:t>
            </w:r>
          </w:p>
        </w:tc>
        <w:tc>
          <w:tcPr>
            <w:tcW w:w="7570" w:type="dxa"/>
          </w:tcPr>
          <w:p w:rsidR="00645256" w:rsidRPr="007E6A2E" w:rsidRDefault="00645256" w:rsidP="00507044">
            <w:pPr>
              <w:spacing w:after="120"/>
              <w:jc w:val="both"/>
              <w:rPr>
                <w:rFonts w:cs="Arial"/>
              </w:rPr>
            </w:pPr>
            <w:r w:rsidRPr="007E6A2E">
              <w:rPr>
                <w:rFonts w:cs="Arial"/>
              </w:rPr>
              <w:t xml:space="preserve">Name: </w:t>
            </w:r>
            <w:r w:rsidRPr="007E6A2E">
              <w:rPr>
                <w:rFonts w:cs="Arial"/>
              </w:rPr>
              <w:fldChar w:fldCharType="begin">
                <w:ffData>
                  <w:name w:val="Text47"/>
                  <w:enabled/>
                  <w:calcOnExit w:val="0"/>
                  <w:textInput/>
                </w:ffData>
              </w:fldChar>
            </w:r>
            <w:bookmarkStart w:id="0" w:name="Text47"/>
            <w:r w:rsidRPr="007E6A2E">
              <w:rPr>
                <w:rFonts w:cs="Arial"/>
              </w:rPr>
              <w:instrText xml:space="preserve"> FORMTEXT </w:instrText>
            </w:r>
            <w:r w:rsidRPr="007E6A2E">
              <w:rPr>
                <w:rFonts w:cs="Arial"/>
              </w:rPr>
            </w:r>
            <w:r w:rsidRPr="007E6A2E">
              <w:rPr>
                <w:rFonts w:cs="Arial"/>
              </w:rPr>
              <w:fldChar w:fldCharType="separate"/>
            </w:r>
            <w:r w:rsidRPr="007E6A2E">
              <w:rPr>
                <w:rFonts w:cs="Arial"/>
                <w:noProof/>
              </w:rPr>
              <w:t> </w:t>
            </w:r>
            <w:r w:rsidRPr="007E6A2E">
              <w:rPr>
                <w:rFonts w:cs="Arial"/>
                <w:noProof/>
              </w:rPr>
              <w:t> </w:t>
            </w:r>
            <w:r w:rsidRPr="007E6A2E">
              <w:rPr>
                <w:rFonts w:cs="Arial"/>
                <w:noProof/>
              </w:rPr>
              <w:t> </w:t>
            </w:r>
            <w:r w:rsidRPr="007E6A2E">
              <w:rPr>
                <w:rFonts w:cs="Arial"/>
                <w:noProof/>
              </w:rPr>
              <w:t> </w:t>
            </w:r>
            <w:r w:rsidRPr="007E6A2E">
              <w:rPr>
                <w:rFonts w:cs="Arial"/>
                <w:noProof/>
              </w:rPr>
              <w:t> </w:t>
            </w:r>
            <w:r w:rsidRPr="007E6A2E">
              <w:rPr>
                <w:rFonts w:cs="Arial"/>
              </w:rPr>
              <w:fldChar w:fldCharType="end"/>
            </w:r>
            <w:bookmarkEnd w:id="0"/>
          </w:p>
          <w:p w:rsidR="00645256" w:rsidRPr="007E6A2E" w:rsidRDefault="00645256" w:rsidP="00507044">
            <w:pPr>
              <w:spacing w:after="240"/>
              <w:jc w:val="both"/>
              <w:rPr>
                <w:rFonts w:cs="Arial"/>
              </w:rPr>
            </w:pPr>
            <w:r w:rsidRPr="007E6A2E">
              <w:rPr>
                <w:rFonts w:cs="Arial"/>
              </w:rPr>
              <w:t xml:space="preserve">Address: </w:t>
            </w:r>
            <w:r w:rsidRPr="007E6A2E">
              <w:rPr>
                <w:rFonts w:cs="Arial"/>
              </w:rPr>
              <w:fldChar w:fldCharType="begin">
                <w:ffData>
                  <w:name w:val="Text48"/>
                  <w:enabled/>
                  <w:calcOnExit w:val="0"/>
                  <w:textInput/>
                </w:ffData>
              </w:fldChar>
            </w:r>
            <w:bookmarkStart w:id="1" w:name="Text48"/>
            <w:r w:rsidRPr="007E6A2E">
              <w:rPr>
                <w:rFonts w:cs="Arial"/>
              </w:rPr>
              <w:instrText xml:space="preserve"> FORMTEXT </w:instrText>
            </w:r>
            <w:r w:rsidRPr="007E6A2E">
              <w:rPr>
                <w:rFonts w:cs="Arial"/>
              </w:rPr>
            </w:r>
            <w:r w:rsidRPr="007E6A2E">
              <w:rPr>
                <w:rFonts w:cs="Arial"/>
              </w:rPr>
              <w:fldChar w:fldCharType="separate"/>
            </w:r>
            <w:r w:rsidRPr="007E6A2E">
              <w:rPr>
                <w:rFonts w:cs="Arial"/>
                <w:noProof/>
              </w:rPr>
              <w:t> </w:t>
            </w:r>
            <w:r w:rsidRPr="007E6A2E">
              <w:rPr>
                <w:rFonts w:cs="Arial"/>
                <w:noProof/>
              </w:rPr>
              <w:t> </w:t>
            </w:r>
            <w:r w:rsidRPr="007E6A2E">
              <w:rPr>
                <w:rFonts w:cs="Arial"/>
                <w:noProof/>
              </w:rPr>
              <w:t> </w:t>
            </w:r>
            <w:r w:rsidRPr="007E6A2E">
              <w:rPr>
                <w:rFonts w:cs="Arial"/>
                <w:noProof/>
              </w:rPr>
              <w:t> </w:t>
            </w:r>
            <w:r w:rsidRPr="007E6A2E">
              <w:rPr>
                <w:rFonts w:cs="Arial"/>
                <w:noProof/>
              </w:rPr>
              <w:t> </w:t>
            </w:r>
            <w:r w:rsidRPr="007E6A2E">
              <w:rPr>
                <w:rFonts w:cs="Arial"/>
              </w:rPr>
              <w:fldChar w:fldCharType="end"/>
            </w:r>
            <w:bookmarkEnd w:id="1"/>
          </w:p>
          <w:p w:rsidR="00645256" w:rsidRPr="007E6A2E" w:rsidRDefault="00645256" w:rsidP="00507044">
            <w:pPr>
              <w:spacing w:after="120"/>
              <w:jc w:val="both"/>
              <w:rPr>
                <w:rFonts w:cs="Arial"/>
              </w:rPr>
            </w:pPr>
            <w:proofErr w:type="spellStart"/>
            <w:r w:rsidRPr="007E6A2E">
              <w:rPr>
                <w:rFonts w:cs="Arial"/>
              </w:rPr>
              <w:t>DoB</w:t>
            </w:r>
            <w:proofErr w:type="spellEnd"/>
            <w:r w:rsidRPr="007E6A2E">
              <w:rPr>
                <w:rFonts w:cs="Arial"/>
              </w:rPr>
              <w:t xml:space="preserve">: </w:t>
            </w:r>
            <w:r w:rsidRPr="007E6A2E">
              <w:rPr>
                <w:rFonts w:cs="Arial"/>
              </w:rPr>
              <w:fldChar w:fldCharType="begin">
                <w:ffData>
                  <w:name w:val="Text49"/>
                  <w:enabled/>
                  <w:calcOnExit w:val="0"/>
                  <w:textInput/>
                </w:ffData>
              </w:fldChar>
            </w:r>
            <w:bookmarkStart w:id="2" w:name="Text49"/>
            <w:r w:rsidRPr="007E6A2E">
              <w:rPr>
                <w:rFonts w:cs="Arial"/>
              </w:rPr>
              <w:instrText xml:space="preserve"> FORMTEXT </w:instrText>
            </w:r>
            <w:r w:rsidRPr="007E6A2E">
              <w:rPr>
                <w:rFonts w:cs="Arial"/>
              </w:rPr>
            </w:r>
            <w:r w:rsidRPr="007E6A2E">
              <w:rPr>
                <w:rFonts w:cs="Arial"/>
              </w:rPr>
              <w:fldChar w:fldCharType="separate"/>
            </w:r>
            <w:r w:rsidRPr="007E6A2E">
              <w:rPr>
                <w:rFonts w:cs="Arial"/>
                <w:noProof/>
              </w:rPr>
              <w:t> </w:t>
            </w:r>
            <w:r w:rsidRPr="007E6A2E">
              <w:rPr>
                <w:rFonts w:cs="Arial"/>
                <w:noProof/>
              </w:rPr>
              <w:t> </w:t>
            </w:r>
            <w:r w:rsidRPr="007E6A2E">
              <w:rPr>
                <w:rFonts w:cs="Arial"/>
                <w:noProof/>
              </w:rPr>
              <w:t> </w:t>
            </w:r>
            <w:r w:rsidRPr="007E6A2E">
              <w:rPr>
                <w:rFonts w:cs="Arial"/>
                <w:noProof/>
              </w:rPr>
              <w:t> </w:t>
            </w:r>
            <w:r w:rsidRPr="007E6A2E">
              <w:rPr>
                <w:rFonts w:cs="Arial"/>
                <w:noProof/>
              </w:rPr>
              <w:t> </w:t>
            </w:r>
            <w:r w:rsidRPr="007E6A2E">
              <w:rPr>
                <w:rFonts w:cs="Arial"/>
              </w:rPr>
              <w:fldChar w:fldCharType="end"/>
            </w:r>
            <w:bookmarkEnd w:id="2"/>
          </w:p>
          <w:p w:rsidR="00645256" w:rsidRPr="007E6A2E" w:rsidRDefault="00645256" w:rsidP="00507044">
            <w:pPr>
              <w:spacing w:after="120"/>
              <w:jc w:val="both"/>
              <w:rPr>
                <w:rFonts w:cs="Arial"/>
              </w:rPr>
            </w:pPr>
            <w:r w:rsidRPr="007E6A2E">
              <w:rPr>
                <w:rFonts w:cs="Arial"/>
              </w:rPr>
              <w:t xml:space="preserve">NHS No: </w:t>
            </w:r>
            <w:r w:rsidRPr="007E6A2E">
              <w:rPr>
                <w:rFonts w:cs="Arial"/>
              </w:rPr>
              <w:fldChar w:fldCharType="begin">
                <w:ffData>
                  <w:name w:val="Text50"/>
                  <w:enabled/>
                  <w:calcOnExit w:val="0"/>
                  <w:textInput/>
                </w:ffData>
              </w:fldChar>
            </w:r>
            <w:bookmarkStart w:id="3" w:name="Text50"/>
            <w:r w:rsidRPr="007E6A2E">
              <w:rPr>
                <w:rFonts w:cs="Arial"/>
              </w:rPr>
              <w:instrText xml:space="preserve"> FORMTEXT </w:instrText>
            </w:r>
            <w:r w:rsidRPr="007E6A2E">
              <w:rPr>
                <w:rFonts w:cs="Arial"/>
              </w:rPr>
            </w:r>
            <w:r w:rsidRPr="007E6A2E">
              <w:rPr>
                <w:rFonts w:cs="Arial"/>
              </w:rPr>
              <w:fldChar w:fldCharType="separate"/>
            </w:r>
            <w:r w:rsidRPr="007E6A2E">
              <w:rPr>
                <w:rFonts w:cs="Arial"/>
                <w:noProof/>
              </w:rPr>
              <w:t> </w:t>
            </w:r>
            <w:r w:rsidRPr="007E6A2E">
              <w:rPr>
                <w:rFonts w:cs="Arial"/>
                <w:noProof/>
              </w:rPr>
              <w:t> </w:t>
            </w:r>
            <w:r w:rsidRPr="007E6A2E">
              <w:rPr>
                <w:rFonts w:cs="Arial"/>
                <w:noProof/>
              </w:rPr>
              <w:t> </w:t>
            </w:r>
            <w:r w:rsidRPr="007E6A2E">
              <w:rPr>
                <w:rFonts w:cs="Arial"/>
                <w:noProof/>
              </w:rPr>
              <w:t> </w:t>
            </w:r>
            <w:r w:rsidRPr="007E6A2E">
              <w:rPr>
                <w:rFonts w:cs="Arial"/>
                <w:noProof/>
              </w:rPr>
              <w:t> </w:t>
            </w:r>
            <w:r w:rsidRPr="007E6A2E">
              <w:rPr>
                <w:rFonts w:cs="Arial"/>
              </w:rPr>
              <w:fldChar w:fldCharType="end"/>
            </w:r>
            <w:bookmarkEnd w:id="3"/>
          </w:p>
          <w:p w:rsidR="00645256" w:rsidRPr="007E6A2E" w:rsidRDefault="00645256" w:rsidP="00507044">
            <w:pPr>
              <w:spacing w:before="120" w:after="120"/>
              <w:contextualSpacing/>
              <w:jc w:val="both"/>
              <w:rPr>
                <w:rFonts w:cs="Arial"/>
              </w:rPr>
            </w:pPr>
            <w:r w:rsidRPr="007E6A2E">
              <w:rPr>
                <w:rFonts w:cs="Arial"/>
              </w:rPr>
              <w:t xml:space="preserve">Hospital No: </w:t>
            </w:r>
            <w:r w:rsidRPr="007E6A2E">
              <w:rPr>
                <w:rFonts w:cs="Arial"/>
              </w:rPr>
              <w:fldChar w:fldCharType="begin">
                <w:ffData>
                  <w:name w:val="Text51"/>
                  <w:enabled/>
                  <w:calcOnExit w:val="0"/>
                  <w:textInput/>
                </w:ffData>
              </w:fldChar>
            </w:r>
            <w:bookmarkStart w:id="4" w:name="Text51"/>
            <w:r w:rsidRPr="007E6A2E">
              <w:rPr>
                <w:rFonts w:cs="Arial"/>
              </w:rPr>
              <w:instrText xml:space="preserve"> FORMTEXT </w:instrText>
            </w:r>
            <w:r w:rsidRPr="007E6A2E">
              <w:rPr>
                <w:rFonts w:cs="Arial"/>
              </w:rPr>
            </w:r>
            <w:r w:rsidRPr="007E6A2E">
              <w:rPr>
                <w:rFonts w:cs="Arial"/>
              </w:rPr>
              <w:fldChar w:fldCharType="separate"/>
            </w:r>
            <w:r w:rsidRPr="007E6A2E">
              <w:rPr>
                <w:rFonts w:cs="Arial"/>
                <w:noProof/>
              </w:rPr>
              <w:t> </w:t>
            </w:r>
            <w:r w:rsidRPr="007E6A2E">
              <w:rPr>
                <w:rFonts w:cs="Arial"/>
                <w:noProof/>
              </w:rPr>
              <w:t> </w:t>
            </w:r>
            <w:r w:rsidRPr="007E6A2E">
              <w:rPr>
                <w:rFonts w:cs="Arial"/>
                <w:noProof/>
              </w:rPr>
              <w:t> </w:t>
            </w:r>
            <w:r w:rsidRPr="007E6A2E">
              <w:rPr>
                <w:rFonts w:cs="Arial"/>
                <w:noProof/>
              </w:rPr>
              <w:t> </w:t>
            </w:r>
            <w:r w:rsidRPr="007E6A2E">
              <w:rPr>
                <w:rFonts w:cs="Arial"/>
                <w:noProof/>
              </w:rPr>
              <w:t> </w:t>
            </w:r>
            <w:r w:rsidRPr="007E6A2E">
              <w:rPr>
                <w:rFonts w:cs="Arial"/>
              </w:rPr>
              <w:fldChar w:fldCharType="end"/>
            </w:r>
            <w:bookmarkEnd w:id="4"/>
          </w:p>
        </w:tc>
      </w:tr>
    </w:tbl>
    <w:p w:rsidR="00645256" w:rsidRPr="00BC6FEA" w:rsidRDefault="00645256" w:rsidP="00645256">
      <w:pPr>
        <w:spacing w:before="120" w:after="120"/>
        <w:jc w:val="both"/>
        <w:rPr>
          <w:szCs w:val="20"/>
        </w:rPr>
      </w:pPr>
      <w:r w:rsidRPr="00BC6FEA">
        <w:rPr>
          <w:b/>
          <w:bCs/>
          <w:szCs w:val="20"/>
        </w:rPr>
        <w:t>Medication name, form and strength</w:t>
      </w:r>
      <w:r w:rsidRPr="00BC6FEA">
        <w:rPr>
          <w:szCs w:val="20"/>
        </w:rPr>
        <w:t xml:space="preserve">: </w:t>
      </w:r>
      <w:r w:rsidR="00170245" w:rsidRPr="00170245">
        <w:rPr>
          <w:szCs w:val="20"/>
        </w:rPr>
        <w:fldChar w:fldCharType="begin">
          <w:ffData>
            <w:name w:val=""/>
            <w:enabled/>
            <w:calcOnExit w:val="0"/>
            <w:textInput/>
          </w:ffData>
        </w:fldChar>
      </w:r>
      <w:r w:rsidR="00170245" w:rsidRPr="00170245">
        <w:rPr>
          <w:szCs w:val="20"/>
        </w:rPr>
        <w:instrText xml:space="preserve"> FORMTEXT </w:instrText>
      </w:r>
      <w:r w:rsidR="00170245" w:rsidRPr="00170245">
        <w:rPr>
          <w:szCs w:val="20"/>
        </w:rPr>
      </w:r>
      <w:r w:rsidR="00170245" w:rsidRPr="00170245">
        <w:rPr>
          <w:szCs w:val="20"/>
        </w:rPr>
        <w:fldChar w:fldCharType="separate"/>
      </w:r>
      <w:r w:rsidR="00170245" w:rsidRPr="00170245">
        <w:rPr>
          <w:szCs w:val="20"/>
        </w:rPr>
        <w:t> </w:t>
      </w:r>
      <w:r w:rsidR="00170245" w:rsidRPr="00170245">
        <w:rPr>
          <w:szCs w:val="20"/>
        </w:rPr>
        <w:t> </w:t>
      </w:r>
      <w:r w:rsidR="00170245" w:rsidRPr="00170245">
        <w:rPr>
          <w:szCs w:val="20"/>
        </w:rPr>
        <w:t> </w:t>
      </w:r>
      <w:r w:rsidR="00170245" w:rsidRPr="00170245">
        <w:rPr>
          <w:szCs w:val="20"/>
        </w:rPr>
        <w:t> </w:t>
      </w:r>
      <w:r w:rsidR="00170245" w:rsidRPr="00170245">
        <w:rPr>
          <w:szCs w:val="20"/>
        </w:rPr>
        <w:t> </w:t>
      </w:r>
      <w:r w:rsidR="00170245" w:rsidRPr="00170245">
        <w:rPr>
          <w:szCs w:val="20"/>
        </w:rPr>
        <w:fldChar w:fldCharType="end"/>
      </w:r>
    </w:p>
    <w:p w:rsidR="00645256" w:rsidRPr="007E6A2E" w:rsidRDefault="00645256" w:rsidP="00645256">
      <w:pPr>
        <w:jc w:val="both"/>
        <w:rPr>
          <w:b/>
          <w:bCs/>
          <w:szCs w:val="20"/>
        </w:rPr>
      </w:pPr>
      <w:r w:rsidRPr="007E6A2E">
        <w:rPr>
          <w:b/>
          <w:bCs/>
          <w:szCs w:val="20"/>
        </w:rPr>
        <w:t xml:space="preserve">The following tests and investigations </w:t>
      </w:r>
      <w:proofErr w:type="gramStart"/>
      <w:r w:rsidRPr="007E6A2E">
        <w:rPr>
          <w:b/>
          <w:bCs/>
          <w:szCs w:val="20"/>
        </w:rPr>
        <w:t>have been carried out</w:t>
      </w:r>
      <w:proofErr w:type="gramEnd"/>
      <w:r w:rsidRPr="007E6A2E">
        <w:rPr>
          <w:b/>
          <w:bCs/>
          <w:szCs w:val="20"/>
        </w:rPr>
        <w:t xml:space="preserve">: </w:t>
      </w:r>
    </w:p>
    <w:p w:rsidR="00645256" w:rsidRPr="007E6A2E" w:rsidRDefault="00645256" w:rsidP="00645256">
      <w:pPr>
        <w:spacing w:after="120"/>
        <w:jc w:val="both"/>
        <w:rPr>
          <w:bCs/>
          <w:szCs w:val="20"/>
        </w:rPr>
      </w:pPr>
      <w:r w:rsidRPr="007E6A2E">
        <w:rPr>
          <w:bCs/>
          <w:szCs w:val="20"/>
        </w:rPr>
        <w:fldChar w:fldCharType="begin">
          <w:ffData>
            <w:name w:val="Text44"/>
            <w:enabled/>
            <w:calcOnExit w:val="0"/>
            <w:textInput/>
          </w:ffData>
        </w:fldChar>
      </w:r>
      <w:bookmarkStart w:id="5" w:name="Text44"/>
      <w:r w:rsidRPr="007E6A2E">
        <w:rPr>
          <w:bCs/>
          <w:szCs w:val="20"/>
        </w:rPr>
        <w:instrText xml:space="preserve"> FORMTEXT </w:instrText>
      </w:r>
      <w:r w:rsidRPr="007E6A2E">
        <w:rPr>
          <w:bCs/>
          <w:szCs w:val="20"/>
        </w:rPr>
      </w:r>
      <w:r w:rsidRPr="007E6A2E">
        <w:rPr>
          <w:bCs/>
          <w:szCs w:val="20"/>
        </w:rPr>
        <w:fldChar w:fldCharType="separate"/>
      </w:r>
      <w:r w:rsidRPr="007E6A2E">
        <w:rPr>
          <w:bCs/>
          <w:noProof/>
          <w:szCs w:val="20"/>
        </w:rPr>
        <w:t> </w:t>
      </w:r>
      <w:r w:rsidRPr="007E6A2E">
        <w:rPr>
          <w:bCs/>
          <w:noProof/>
          <w:szCs w:val="20"/>
        </w:rPr>
        <w:t> </w:t>
      </w:r>
      <w:r w:rsidRPr="007E6A2E">
        <w:rPr>
          <w:bCs/>
          <w:noProof/>
          <w:szCs w:val="20"/>
        </w:rPr>
        <w:t> </w:t>
      </w:r>
      <w:r w:rsidRPr="007E6A2E">
        <w:rPr>
          <w:bCs/>
          <w:noProof/>
          <w:szCs w:val="20"/>
        </w:rPr>
        <w:t> </w:t>
      </w:r>
      <w:r w:rsidRPr="007E6A2E">
        <w:rPr>
          <w:bCs/>
          <w:noProof/>
          <w:szCs w:val="20"/>
        </w:rPr>
        <w:t> </w:t>
      </w:r>
      <w:r w:rsidRPr="007E6A2E">
        <w:rPr>
          <w:bCs/>
          <w:szCs w:val="20"/>
        </w:rPr>
        <w:fldChar w:fldCharType="end"/>
      </w:r>
      <w:bookmarkEnd w:id="5"/>
    </w:p>
    <w:p w:rsidR="00645256" w:rsidRPr="007E6A2E" w:rsidRDefault="00645256" w:rsidP="00645256">
      <w:pPr>
        <w:spacing w:after="120"/>
        <w:jc w:val="both"/>
        <w:rPr>
          <w:szCs w:val="20"/>
        </w:rPr>
      </w:pPr>
      <w:r w:rsidRPr="007E6A2E">
        <w:rPr>
          <w:b/>
          <w:szCs w:val="20"/>
        </w:rPr>
        <w:t xml:space="preserve">Date treatment initiated: </w:t>
      </w:r>
      <w:r w:rsidRPr="007E6A2E">
        <w:rPr>
          <w:szCs w:val="20"/>
        </w:rPr>
        <w:fldChar w:fldCharType="begin">
          <w:ffData>
            <w:name w:val="Text45"/>
            <w:enabled/>
            <w:calcOnExit w:val="0"/>
            <w:textInput/>
          </w:ffData>
        </w:fldChar>
      </w:r>
      <w:bookmarkStart w:id="6" w:name="Text45"/>
      <w:r w:rsidRPr="007E6A2E">
        <w:rPr>
          <w:szCs w:val="20"/>
        </w:rPr>
        <w:instrText xml:space="preserve"> FORMTEXT </w:instrText>
      </w:r>
      <w:r w:rsidRPr="007E6A2E">
        <w:rPr>
          <w:szCs w:val="20"/>
        </w:rPr>
      </w:r>
      <w:r w:rsidRPr="007E6A2E">
        <w:rPr>
          <w:szCs w:val="20"/>
        </w:rPr>
        <w:fldChar w:fldCharType="separate"/>
      </w:r>
      <w:r w:rsidRPr="007E6A2E">
        <w:rPr>
          <w:noProof/>
          <w:szCs w:val="20"/>
        </w:rPr>
        <w:t> </w:t>
      </w:r>
      <w:r w:rsidRPr="007E6A2E">
        <w:rPr>
          <w:noProof/>
          <w:szCs w:val="20"/>
        </w:rPr>
        <w:t> </w:t>
      </w:r>
      <w:r w:rsidRPr="007E6A2E">
        <w:rPr>
          <w:noProof/>
          <w:szCs w:val="20"/>
        </w:rPr>
        <w:t> </w:t>
      </w:r>
      <w:r w:rsidRPr="007E6A2E">
        <w:rPr>
          <w:noProof/>
          <w:szCs w:val="20"/>
        </w:rPr>
        <w:t> </w:t>
      </w:r>
      <w:r w:rsidRPr="007E6A2E">
        <w:rPr>
          <w:noProof/>
          <w:szCs w:val="20"/>
        </w:rPr>
        <w:t> </w:t>
      </w:r>
      <w:r w:rsidRPr="007E6A2E">
        <w:rPr>
          <w:szCs w:val="20"/>
        </w:rPr>
        <w:fldChar w:fldCharType="end"/>
      </w:r>
      <w:bookmarkEnd w:id="6"/>
    </w:p>
    <w:p w:rsidR="00645256" w:rsidRPr="007E6A2E" w:rsidRDefault="00645256" w:rsidP="00645256">
      <w:pPr>
        <w:jc w:val="both"/>
        <w:rPr>
          <w:szCs w:val="20"/>
        </w:rPr>
      </w:pPr>
      <w:r w:rsidRPr="007E6A2E">
        <w:rPr>
          <w:b/>
          <w:szCs w:val="20"/>
        </w:rPr>
        <w:t>At the last patient review the medication appeared to be effectively controlling symptoms or providing benefit</w:t>
      </w:r>
      <w:r w:rsidRPr="007E6A2E">
        <w:rPr>
          <w:szCs w:val="20"/>
        </w:rPr>
        <w:t>:</w:t>
      </w:r>
    </w:p>
    <w:p w:rsidR="00645256" w:rsidRPr="007E6A2E" w:rsidRDefault="00645256" w:rsidP="00645256">
      <w:pPr>
        <w:spacing w:after="120"/>
        <w:jc w:val="both"/>
        <w:rPr>
          <w:szCs w:val="20"/>
        </w:rPr>
      </w:pPr>
      <w:r w:rsidRPr="007E6A2E">
        <w:rPr>
          <w:szCs w:val="20"/>
        </w:rPr>
        <w:fldChar w:fldCharType="begin">
          <w:ffData>
            <w:name w:val="Text46"/>
            <w:enabled/>
            <w:calcOnExit w:val="0"/>
            <w:textInput/>
          </w:ffData>
        </w:fldChar>
      </w:r>
      <w:bookmarkStart w:id="7" w:name="Text46"/>
      <w:r w:rsidRPr="007E6A2E">
        <w:rPr>
          <w:szCs w:val="20"/>
        </w:rPr>
        <w:instrText xml:space="preserve"> FORMTEXT </w:instrText>
      </w:r>
      <w:r w:rsidRPr="007E6A2E">
        <w:rPr>
          <w:szCs w:val="20"/>
        </w:rPr>
      </w:r>
      <w:r w:rsidRPr="007E6A2E">
        <w:rPr>
          <w:szCs w:val="20"/>
        </w:rPr>
        <w:fldChar w:fldCharType="separate"/>
      </w:r>
      <w:r w:rsidRPr="007E6A2E">
        <w:rPr>
          <w:szCs w:val="20"/>
        </w:rPr>
        <w:t>Yes/No</w:t>
      </w:r>
      <w:r w:rsidRPr="007E6A2E">
        <w:rPr>
          <w:szCs w:val="20"/>
        </w:rPr>
        <w:fldChar w:fldCharType="end"/>
      </w:r>
      <w:bookmarkEnd w:id="7"/>
    </w:p>
    <w:p w:rsidR="00645256" w:rsidRPr="007E6A2E" w:rsidRDefault="00645256" w:rsidP="00645256">
      <w:pPr>
        <w:spacing w:after="120"/>
        <w:jc w:val="both"/>
        <w:rPr>
          <w:szCs w:val="20"/>
        </w:rPr>
      </w:pPr>
      <w:r w:rsidRPr="007E6A2E">
        <w:rPr>
          <w:b/>
          <w:szCs w:val="20"/>
        </w:rPr>
        <w:t>The patients has now been stabilised on a dose of:</w:t>
      </w:r>
      <w:r w:rsidRPr="007E6A2E">
        <w:rPr>
          <w:szCs w:val="20"/>
        </w:rPr>
        <w:t xml:space="preserve"> </w:t>
      </w:r>
      <w:r w:rsidRPr="007E6A2E">
        <w:rPr>
          <w:szCs w:val="20"/>
        </w:rPr>
        <w:fldChar w:fldCharType="begin">
          <w:ffData>
            <w:name w:val="Text52"/>
            <w:enabled/>
            <w:calcOnExit w:val="0"/>
            <w:textInput/>
          </w:ffData>
        </w:fldChar>
      </w:r>
      <w:bookmarkStart w:id="8" w:name="Text52"/>
      <w:r w:rsidRPr="007E6A2E">
        <w:rPr>
          <w:szCs w:val="20"/>
        </w:rPr>
        <w:instrText xml:space="preserve"> FORMTEXT </w:instrText>
      </w:r>
      <w:r w:rsidRPr="007E6A2E">
        <w:rPr>
          <w:szCs w:val="20"/>
        </w:rPr>
      </w:r>
      <w:r w:rsidRPr="007E6A2E">
        <w:rPr>
          <w:szCs w:val="20"/>
        </w:rPr>
        <w:fldChar w:fldCharType="separate"/>
      </w:r>
      <w:r w:rsidRPr="007E6A2E">
        <w:rPr>
          <w:noProof/>
          <w:szCs w:val="20"/>
        </w:rPr>
        <w:t> </w:t>
      </w:r>
      <w:r w:rsidRPr="007E6A2E">
        <w:rPr>
          <w:noProof/>
          <w:szCs w:val="20"/>
        </w:rPr>
        <w:t> </w:t>
      </w:r>
      <w:r w:rsidRPr="007E6A2E">
        <w:rPr>
          <w:noProof/>
          <w:szCs w:val="20"/>
        </w:rPr>
        <w:t> </w:t>
      </w:r>
      <w:r w:rsidRPr="007E6A2E">
        <w:rPr>
          <w:noProof/>
          <w:szCs w:val="20"/>
        </w:rPr>
        <w:t> </w:t>
      </w:r>
      <w:r w:rsidRPr="007E6A2E">
        <w:rPr>
          <w:noProof/>
          <w:szCs w:val="20"/>
        </w:rPr>
        <w:t> </w:t>
      </w:r>
      <w:r w:rsidRPr="007E6A2E">
        <w:rPr>
          <w:szCs w:val="20"/>
        </w:rPr>
        <w:fldChar w:fldCharType="end"/>
      </w:r>
      <w:bookmarkEnd w:id="8"/>
    </w:p>
    <w:p w:rsidR="00645256" w:rsidRPr="007E6A2E" w:rsidRDefault="00645256" w:rsidP="00645256">
      <w:pPr>
        <w:jc w:val="both"/>
        <w:rPr>
          <w:rFonts w:cs="Arial"/>
          <w:b/>
          <w:szCs w:val="20"/>
        </w:rPr>
      </w:pPr>
      <w:r w:rsidRPr="007E6A2E">
        <w:rPr>
          <w:rFonts w:cs="Arial"/>
          <w:b/>
          <w:szCs w:val="20"/>
        </w:rPr>
        <w:t>The patient has been given written information about their medication:</w:t>
      </w:r>
    </w:p>
    <w:p w:rsidR="00645256" w:rsidRPr="007E6A2E" w:rsidRDefault="00645256" w:rsidP="00645256">
      <w:pPr>
        <w:spacing w:after="120"/>
        <w:jc w:val="both"/>
        <w:rPr>
          <w:szCs w:val="20"/>
        </w:rPr>
      </w:pPr>
      <w:r w:rsidRPr="007E6A2E">
        <w:rPr>
          <w:szCs w:val="20"/>
        </w:rPr>
        <w:fldChar w:fldCharType="begin">
          <w:ffData>
            <w:name w:val="Text46"/>
            <w:enabled/>
            <w:calcOnExit w:val="0"/>
            <w:textInput/>
          </w:ffData>
        </w:fldChar>
      </w:r>
      <w:r w:rsidRPr="007E6A2E">
        <w:rPr>
          <w:szCs w:val="20"/>
        </w:rPr>
        <w:instrText xml:space="preserve"> FORMTEXT </w:instrText>
      </w:r>
      <w:r w:rsidRPr="007E6A2E">
        <w:rPr>
          <w:szCs w:val="20"/>
        </w:rPr>
      </w:r>
      <w:r w:rsidRPr="007E6A2E">
        <w:rPr>
          <w:szCs w:val="20"/>
        </w:rPr>
        <w:fldChar w:fldCharType="separate"/>
      </w:r>
      <w:r w:rsidRPr="007E6A2E">
        <w:rPr>
          <w:szCs w:val="20"/>
        </w:rPr>
        <w:t>Yes/No</w:t>
      </w:r>
      <w:r w:rsidRPr="007E6A2E">
        <w:rPr>
          <w:szCs w:val="20"/>
        </w:rPr>
        <w:fldChar w:fldCharType="end"/>
      </w:r>
    </w:p>
    <w:p w:rsidR="00645256" w:rsidRPr="007E6A2E" w:rsidRDefault="00645256" w:rsidP="00645256">
      <w:pPr>
        <w:jc w:val="both"/>
        <w:rPr>
          <w:rFonts w:cs="Arial"/>
          <w:b/>
          <w:iCs/>
          <w:szCs w:val="20"/>
        </w:rPr>
      </w:pPr>
      <w:r w:rsidRPr="007E6A2E">
        <w:rPr>
          <w:rFonts w:cs="Arial"/>
          <w:b/>
          <w:szCs w:val="20"/>
        </w:rPr>
        <w:t xml:space="preserve">The patient understands that this medication is being prescribed </w:t>
      </w:r>
      <w:r w:rsidRPr="007E6A2E">
        <w:rPr>
          <w:rFonts w:cs="Arial"/>
          <w:b/>
          <w:iCs/>
          <w:szCs w:val="20"/>
        </w:rPr>
        <w:t>under a shared care agreement between their GP and specialist and that they have responsibilities under the agreement to ensure they attend their GP to be regularly monitored.</w:t>
      </w:r>
    </w:p>
    <w:p w:rsidR="00645256" w:rsidRPr="007E6A2E" w:rsidRDefault="00645256" w:rsidP="00645256">
      <w:pPr>
        <w:spacing w:after="120"/>
        <w:jc w:val="both"/>
        <w:rPr>
          <w:szCs w:val="20"/>
        </w:rPr>
      </w:pPr>
      <w:r w:rsidRPr="007E6A2E">
        <w:rPr>
          <w:szCs w:val="20"/>
        </w:rPr>
        <w:fldChar w:fldCharType="begin">
          <w:ffData>
            <w:name w:val="Text46"/>
            <w:enabled/>
            <w:calcOnExit w:val="0"/>
            <w:textInput/>
          </w:ffData>
        </w:fldChar>
      </w:r>
      <w:r w:rsidRPr="007E6A2E">
        <w:rPr>
          <w:szCs w:val="20"/>
        </w:rPr>
        <w:instrText xml:space="preserve"> FORMTEXT </w:instrText>
      </w:r>
      <w:r w:rsidRPr="007E6A2E">
        <w:rPr>
          <w:szCs w:val="20"/>
        </w:rPr>
      </w:r>
      <w:r w:rsidRPr="007E6A2E">
        <w:rPr>
          <w:szCs w:val="20"/>
        </w:rPr>
        <w:fldChar w:fldCharType="separate"/>
      </w:r>
      <w:r w:rsidRPr="007E6A2E">
        <w:rPr>
          <w:szCs w:val="20"/>
        </w:rPr>
        <w:t>Yes/No</w:t>
      </w:r>
      <w:r w:rsidRPr="007E6A2E">
        <w:rPr>
          <w:szCs w:val="20"/>
        </w:rPr>
        <w:fldChar w:fldCharType="end"/>
      </w:r>
    </w:p>
    <w:p w:rsidR="00645256" w:rsidRPr="007E6A2E" w:rsidRDefault="00645256" w:rsidP="00645256">
      <w:pPr>
        <w:jc w:val="both"/>
        <w:rPr>
          <w:b/>
          <w:szCs w:val="20"/>
        </w:rPr>
      </w:pPr>
      <w:r w:rsidRPr="007E6A2E">
        <w:rPr>
          <w:b/>
          <w:szCs w:val="20"/>
        </w:rPr>
        <w:t>The patient has been informed that the GP can opt-out of taking on prescribing responsibility if they do not feel clinically able to prescribe or if the patient persistently does not attend for monitoring:</w:t>
      </w:r>
    </w:p>
    <w:p w:rsidR="00645256" w:rsidRPr="00A76954" w:rsidRDefault="00645256" w:rsidP="00645256">
      <w:pPr>
        <w:spacing w:after="120"/>
        <w:jc w:val="both"/>
        <w:rPr>
          <w:szCs w:val="20"/>
        </w:rPr>
      </w:pPr>
      <w:r w:rsidRPr="00A76954">
        <w:rPr>
          <w:szCs w:val="20"/>
        </w:rPr>
        <w:fldChar w:fldCharType="begin">
          <w:ffData>
            <w:name w:val="Text46"/>
            <w:enabled/>
            <w:calcOnExit w:val="0"/>
            <w:textInput/>
          </w:ffData>
        </w:fldChar>
      </w:r>
      <w:r w:rsidRPr="00A76954">
        <w:rPr>
          <w:szCs w:val="20"/>
        </w:rPr>
        <w:instrText xml:space="preserve"> FORMTEXT </w:instrText>
      </w:r>
      <w:r w:rsidRPr="00A76954">
        <w:rPr>
          <w:szCs w:val="20"/>
        </w:rPr>
      </w:r>
      <w:r w:rsidRPr="00A76954">
        <w:rPr>
          <w:szCs w:val="20"/>
        </w:rPr>
        <w:fldChar w:fldCharType="separate"/>
      </w:r>
      <w:r w:rsidRPr="00A76954">
        <w:rPr>
          <w:szCs w:val="20"/>
        </w:rPr>
        <w:t>Yes/No</w:t>
      </w:r>
      <w:r w:rsidRPr="00A76954">
        <w:rPr>
          <w:szCs w:val="20"/>
        </w:rPr>
        <w:fldChar w:fldCharType="end"/>
      </w:r>
    </w:p>
    <w:p w:rsidR="00645256" w:rsidRPr="00A76954" w:rsidRDefault="00645256" w:rsidP="00645256">
      <w:pPr>
        <w:spacing w:after="120"/>
        <w:jc w:val="both"/>
        <w:rPr>
          <w:szCs w:val="20"/>
        </w:rPr>
      </w:pPr>
      <w:r w:rsidRPr="00A76954">
        <w:rPr>
          <w:b/>
          <w:szCs w:val="20"/>
        </w:rPr>
        <w:t xml:space="preserve">Date of next clinic appointment: </w:t>
      </w:r>
      <w:r w:rsidRPr="00A76954">
        <w:rPr>
          <w:szCs w:val="20"/>
        </w:rPr>
        <w:fldChar w:fldCharType="begin">
          <w:ffData>
            <w:name w:val="Text53"/>
            <w:enabled/>
            <w:calcOnExit w:val="0"/>
            <w:textInput/>
          </w:ffData>
        </w:fldChar>
      </w:r>
      <w:bookmarkStart w:id="9" w:name="Text53"/>
      <w:r w:rsidRPr="00A76954">
        <w:rPr>
          <w:szCs w:val="20"/>
        </w:rPr>
        <w:instrText xml:space="preserve"> FORMTEXT </w:instrText>
      </w:r>
      <w:r w:rsidRPr="00A76954">
        <w:rPr>
          <w:szCs w:val="20"/>
        </w:rPr>
      </w:r>
      <w:r w:rsidRPr="00A76954">
        <w:rPr>
          <w:szCs w:val="20"/>
        </w:rPr>
        <w:fldChar w:fldCharType="separate"/>
      </w:r>
      <w:r w:rsidRPr="00A76954">
        <w:rPr>
          <w:noProof/>
          <w:szCs w:val="20"/>
        </w:rPr>
        <w:t> </w:t>
      </w:r>
      <w:r w:rsidRPr="00A76954">
        <w:rPr>
          <w:noProof/>
          <w:szCs w:val="20"/>
        </w:rPr>
        <w:t> </w:t>
      </w:r>
      <w:r w:rsidRPr="00A76954">
        <w:rPr>
          <w:noProof/>
          <w:szCs w:val="20"/>
        </w:rPr>
        <w:t> </w:t>
      </w:r>
      <w:r w:rsidRPr="00A76954">
        <w:rPr>
          <w:noProof/>
          <w:szCs w:val="20"/>
        </w:rPr>
        <w:t> </w:t>
      </w:r>
      <w:r w:rsidRPr="00A76954">
        <w:rPr>
          <w:noProof/>
          <w:szCs w:val="20"/>
        </w:rPr>
        <w:t> </w:t>
      </w:r>
      <w:r w:rsidRPr="00A76954">
        <w:rPr>
          <w:szCs w:val="20"/>
        </w:rPr>
        <w:fldChar w:fldCharType="end"/>
      </w:r>
      <w:bookmarkEnd w:id="9"/>
    </w:p>
    <w:p w:rsidR="00645256" w:rsidRPr="00A76954" w:rsidRDefault="00645256" w:rsidP="00C93BD4">
      <w:pPr>
        <w:pStyle w:val="mtrachead3"/>
        <w:keepNext w:val="0"/>
        <w:pBdr>
          <w:top w:val="single" w:sz="4" w:space="1" w:color="auto"/>
          <w:left w:val="single" w:sz="4" w:space="4" w:color="auto"/>
          <w:bottom w:val="single" w:sz="4" w:space="5" w:color="auto"/>
          <w:right w:val="single" w:sz="4" w:space="4" w:color="auto"/>
        </w:pBdr>
        <w:shd w:val="clear" w:color="auto" w:fill="BFBFBF"/>
        <w:spacing w:before="40"/>
        <w:jc w:val="center"/>
        <w:outlineLvl w:val="9"/>
        <w:rPr>
          <w:rFonts w:ascii="Arial" w:hAnsi="Arial"/>
        </w:rPr>
      </w:pPr>
      <w:r w:rsidRPr="00A76954">
        <w:rPr>
          <w:rFonts w:ascii="Arial" w:hAnsi="Arial"/>
        </w:rPr>
        <w:t>If the practice declines shared care, then the named consultant or specialist should be informed within 28 days of receipt of this request. Forms used to decline prescribing can be found here:</w:t>
      </w:r>
    </w:p>
    <w:p w:rsidR="00645256" w:rsidRPr="00A76954" w:rsidRDefault="00645256" w:rsidP="00645256">
      <w:pPr>
        <w:pStyle w:val="mtrachead3"/>
        <w:keepNext w:val="0"/>
        <w:pBdr>
          <w:top w:val="single" w:sz="4" w:space="1" w:color="auto"/>
          <w:left w:val="single" w:sz="4" w:space="4" w:color="auto"/>
          <w:bottom w:val="single" w:sz="4" w:space="5" w:color="auto"/>
          <w:right w:val="single" w:sz="4" w:space="4" w:color="auto"/>
        </w:pBdr>
        <w:shd w:val="clear" w:color="auto" w:fill="BFBFBF"/>
        <w:spacing w:before="40"/>
        <w:jc w:val="center"/>
        <w:outlineLvl w:val="9"/>
        <w:rPr>
          <w:rFonts w:ascii="Arial" w:hAnsi="Arial"/>
        </w:rPr>
      </w:pPr>
      <w:r w:rsidRPr="00A76954">
        <w:rPr>
          <w:rFonts w:ascii="Arial" w:hAnsi="Arial"/>
        </w:rPr>
        <w:t>Brighton and Hove CCG:</w:t>
      </w:r>
    </w:p>
    <w:p w:rsidR="00645256" w:rsidRPr="00A76954" w:rsidRDefault="00BB6C50" w:rsidP="00645256">
      <w:pPr>
        <w:pStyle w:val="mtrachead3"/>
        <w:keepNext w:val="0"/>
        <w:pBdr>
          <w:top w:val="single" w:sz="4" w:space="1" w:color="auto"/>
          <w:left w:val="single" w:sz="4" w:space="4" w:color="auto"/>
          <w:bottom w:val="single" w:sz="4" w:space="5" w:color="auto"/>
          <w:right w:val="single" w:sz="4" w:space="4" w:color="auto"/>
        </w:pBdr>
        <w:shd w:val="clear" w:color="auto" w:fill="BFBFBF"/>
        <w:spacing w:before="40"/>
        <w:jc w:val="center"/>
        <w:outlineLvl w:val="9"/>
        <w:rPr>
          <w:rFonts w:ascii="Arial" w:hAnsi="Arial"/>
        </w:rPr>
      </w:pPr>
      <w:hyperlink r:id="rId18" w:history="1">
        <w:r w:rsidR="00645256" w:rsidRPr="00A76954">
          <w:rPr>
            <w:rStyle w:val="Hyperlink"/>
            <w:rFonts w:ascii="Arial" w:hAnsi="Arial"/>
          </w:rPr>
          <w:t>http://www.gp.brightonandhoveccg.nhs.uk/prescribing/joint-formulary-supporting-information</w:t>
        </w:r>
      </w:hyperlink>
    </w:p>
    <w:p w:rsidR="00645256" w:rsidRPr="00A76954" w:rsidRDefault="00645256" w:rsidP="00645256">
      <w:pPr>
        <w:pStyle w:val="mtrachead3"/>
        <w:keepNext w:val="0"/>
        <w:pBdr>
          <w:top w:val="single" w:sz="4" w:space="1" w:color="auto"/>
          <w:left w:val="single" w:sz="4" w:space="4" w:color="auto"/>
          <w:bottom w:val="single" w:sz="4" w:space="5" w:color="auto"/>
          <w:right w:val="single" w:sz="4" w:space="4" w:color="auto"/>
        </w:pBdr>
        <w:shd w:val="clear" w:color="auto" w:fill="BFBFBF"/>
        <w:spacing w:before="40"/>
        <w:jc w:val="center"/>
        <w:outlineLvl w:val="9"/>
        <w:rPr>
          <w:rFonts w:ascii="Arial" w:hAnsi="Arial"/>
        </w:rPr>
      </w:pPr>
      <w:r w:rsidRPr="00A76954">
        <w:rPr>
          <w:rFonts w:ascii="Arial" w:hAnsi="Arial"/>
        </w:rPr>
        <w:t xml:space="preserve">Crawley CCG, Horsham and Mid Sussex CCG: </w:t>
      </w:r>
      <w:bookmarkStart w:id="10" w:name="_GoBack"/>
      <w:bookmarkEnd w:id="10"/>
      <w:r w:rsidR="00BB6C50">
        <w:fldChar w:fldCharType="begin"/>
      </w:r>
      <w:r w:rsidR="00BB6C50">
        <w:instrText xml:space="preserve"> HYPERLINK "http://www.horshamandmidsussexccg.nhs.uk/EasySiteWeb/GatewayLink.aspx?alId=415216" </w:instrText>
      </w:r>
      <w:r w:rsidR="00BB6C50">
        <w:fldChar w:fldCharType="separate"/>
      </w:r>
      <w:r w:rsidRPr="00A76954">
        <w:rPr>
          <w:rStyle w:val="Hyperlink"/>
          <w:rFonts w:ascii="Arial" w:hAnsi="Arial"/>
        </w:rPr>
        <w:t>http://www.horshamandmidsussexccg.nhs.uk/EasySiteWeb/GatewayLink.aspx?alId=415216</w:t>
      </w:r>
      <w:r w:rsidR="00BB6C50">
        <w:rPr>
          <w:rStyle w:val="Hyperlink"/>
          <w:rFonts w:ascii="Arial" w:hAnsi="Arial"/>
        </w:rPr>
        <w:fldChar w:fldCharType="end"/>
      </w:r>
    </w:p>
    <w:p w:rsidR="00645256" w:rsidRPr="00A76954" w:rsidRDefault="00645256" w:rsidP="00645256">
      <w:pPr>
        <w:pStyle w:val="mtrachead3"/>
        <w:keepNext w:val="0"/>
        <w:spacing w:before="40"/>
        <w:outlineLvl w:val="9"/>
        <w:rPr>
          <w:rFonts w:ascii="Arial" w:hAnsi="Arial"/>
          <w:sz w:val="2"/>
          <w:szCs w:val="16"/>
        </w:rPr>
      </w:pPr>
    </w:p>
    <w:tbl>
      <w:tblPr>
        <w:tblpPr w:leftFromText="180" w:rightFromText="180" w:vertAnchor="page" w:horzAnchor="margin" w:tblpXSpec="center" w:tblpY="11785"/>
        <w:tblW w:w="11642" w:type="dxa"/>
        <w:tblLayout w:type="fixed"/>
        <w:tblCellMar>
          <w:left w:w="0" w:type="dxa"/>
          <w:right w:w="0" w:type="dxa"/>
        </w:tblCellMar>
        <w:tblLook w:val="04A0" w:firstRow="1" w:lastRow="0" w:firstColumn="1" w:lastColumn="0" w:noHBand="0" w:noVBand="1"/>
      </w:tblPr>
      <w:tblGrid>
        <w:gridCol w:w="1526"/>
        <w:gridCol w:w="1270"/>
        <w:gridCol w:w="3345"/>
        <w:gridCol w:w="2100"/>
        <w:gridCol w:w="3401"/>
      </w:tblGrid>
      <w:tr w:rsidR="00BB6C50" w:rsidRPr="0008071E" w:rsidTr="00BB6C50">
        <w:trPr>
          <w:cantSplit/>
          <w:trHeight w:val="257"/>
        </w:trPr>
        <w:tc>
          <w:tcPr>
            <w:tcW w:w="2796" w:type="dxa"/>
            <w:gridSpan w:val="2"/>
            <w:tcBorders>
              <w:top w:val="single" w:sz="12"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rsidR="00BB6C50" w:rsidRPr="00840032" w:rsidRDefault="00BB6C50" w:rsidP="00BB6C50">
            <w:pPr>
              <w:pStyle w:val="mtrachead3"/>
              <w:keepNext w:val="0"/>
              <w:outlineLvl w:val="9"/>
              <w:rPr>
                <w:rFonts w:ascii="Arial" w:hAnsi="Arial"/>
                <w:sz w:val="17"/>
                <w:szCs w:val="17"/>
              </w:rPr>
            </w:pPr>
            <w:r w:rsidRPr="00840032">
              <w:rPr>
                <w:rFonts w:ascii="Arial" w:hAnsi="Arial"/>
                <w:sz w:val="17"/>
                <w:szCs w:val="17"/>
              </w:rPr>
              <w:t>BACK-UP ADVICE &amp; SUPPORT</w:t>
            </w:r>
          </w:p>
        </w:tc>
        <w:tc>
          <w:tcPr>
            <w:tcW w:w="3345" w:type="dxa"/>
            <w:tcBorders>
              <w:top w:val="single" w:sz="12" w:space="0" w:color="auto"/>
              <w:left w:val="single" w:sz="4" w:space="0" w:color="auto"/>
              <w:bottom w:val="single" w:sz="12" w:space="0" w:color="auto"/>
              <w:right w:val="single" w:sz="8" w:space="0" w:color="auto"/>
            </w:tcBorders>
            <w:tcMar>
              <w:top w:w="0" w:type="dxa"/>
              <w:left w:w="108" w:type="dxa"/>
              <w:bottom w:w="0" w:type="dxa"/>
              <w:right w:w="108" w:type="dxa"/>
            </w:tcMar>
            <w:vAlign w:val="center"/>
            <w:hideMark/>
          </w:tcPr>
          <w:p w:rsidR="00BB6C50" w:rsidRPr="0008071E" w:rsidRDefault="00BB6C50" w:rsidP="00BB6C50">
            <w:pPr>
              <w:spacing w:line="276" w:lineRule="auto"/>
              <w:rPr>
                <w:rFonts w:eastAsia="Calibri" w:cs="Arial"/>
                <w:b/>
                <w:bCs/>
                <w:sz w:val="18"/>
                <w:szCs w:val="18"/>
              </w:rPr>
            </w:pPr>
            <w:r w:rsidRPr="0008071E">
              <w:rPr>
                <w:rFonts w:eastAsia="Calibri" w:cs="Arial"/>
                <w:b/>
                <w:bCs/>
                <w:sz w:val="18"/>
                <w:szCs w:val="18"/>
              </w:rPr>
              <w:t>Name and position</w:t>
            </w:r>
          </w:p>
        </w:tc>
        <w:tc>
          <w:tcPr>
            <w:tcW w:w="210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BB6C50" w:rsidRPr="0008071E" w:rsidRDefault="00BB6C50" w:rsidP="00BB6C50">
            <w:pPr>
              <w:spacing w:line="276" w:lineRule="auto"/>
              <w:rPr>
                <w:rFonts w:eastAsia="Calibri" w:cs="Arial"/>
                <w:b/>
                <w:bCs/>
                <w:sz w:val="18"/>
                <w:szCs w:val="18"/>
              </w:rPr>
            </w:pPr>
            <w:r w:rsidRPr="0008071E">
              <w:rPr>
                <w:rFonts w:eastAsia="Calibri" w:cs="Arial"/>
                <w:b/>
                <w:bCs/>
                <w:sz w:val="18"/>
                <w:szCs w:val="18"/>
              </w:rPr>
              <w:t>Telephone</w:t>
            </w:r>
          </w:p>
        </w:tc>
        <w:tc>
          <w:tcPr>
            <w:tcW w:w="3401"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BB6C50" w:rsidRPr="0008071E" w:rsidRDefault="00BB6C50" w:rsidP="00BB6C50">
            <w:pPr>
              <w:spacing w:line="276" w:lineRule="auto"/>
              <w:rPr>
                <w:rFonts w:eastAsia="Calibri" w:cs="Arial"/>
                <w:b/>
                <w:bCs/>
                <w:sz w:val="18"/>
                <w:szCs w:val="18"/>
              </w:rPr>
            </w:pPr>
            <w:r w:rsidRPr="0008071E">
              <w:rPr>
                <w:rFonts w:eastAsia="Calibri" w:cs="Arial"/>
                <w:b/>
                <w:bCs/>
                <w:sz w:val="18"/>
                <w:szCs w:val="18"/>
              </w:rPr>
              <w:t xml:space="preserve">Email </w:t>
            </w:r>
          </w:p>
        </w:tc>
      </w:tr>
      <w:tr w:rsidR="00BB6C50" w:rsidRPr="0008071E" w:rsidTr="00BB6C50">
        <w:trPr>
          <w:cantSplit/>
          <w:trHeight w:val="227"/>
        </w:trPr>
        <w:tc>
          <w:tcPr>
            <w:tcW w:w="1526" w:type="dxa"/>
            <w:vMerge w:val="restart"/>
            <w:tcBorders>
              <w:top w:val="single" w:sz="12" w:space="0" w:color="auto"/>
              <w:left w:val="single" w:sz="12" w:space="0" w:color="auto"/>
              <w:right w:val="single" w:sz="12" w:space="0" w:color="auto"/>
            </w:tcBorders>
            <w:tcMar>
              <w:top w:w="0" w:type="dxa"/>
              <w:left w:w="108" w:type="dxa"/>
              <w:bottom w:w="0" w:type="dxa"/>
              <w:right w:w="108" w:type="dxa"/>
            </w:tcMar>
            <w:vAlign w:val="center"/>
            <w:hideMark/>
          </w:tcPr>
          <w:p w:rsidR="0008071E" w:rsidRPr="0008071E" w:rsidRDefault="00BB6C50" w:rsidP="00BB6C50">
            <w:pPr>
              <w:snapToGrid w:val="0"/>
              <w:spacing w:line="276" w:lineRule="auto"/>
              <w:jc w:val="center"/>
              <w:rPr>
                <w:rFonts w:eastAsia="Calibri" w:cs="Arial"/>
                <w:b/>
                <w:bCs/>
                <w:sz w:val="18"/>
                <w:szCs w:val="18"/>
              </w:rPr>
            </w:pPr>
            <w:r w:rsidRPr="0008071E">
              <w:rPr>
                <w:rFonts w:eastAsia="Calibri" w:cs="Arial"/>
                <w:b/>
                <w:bCs/>
                <w:sz w:val="18"/>
                <w:szCs w:val="18"/>
              </w:rPr>
              <w:t>Specialist or Consultant</w:t>
            </w:r>
          </w:p>
        </w:tc>
        <w:tc>
          <w:tcPr>
            <w:tcW w:w="1270" w:type="dxa"/>
            <w:tcBorders>
              <w:top w:val="single" w:sz="12" w:space="0" w:color="auto"/>
              <w:left w:val="single" w:sz="12" w:space="0" w:color="auto"/>
              <w:bottom w:val="single" w:sz="4" w:space="0" w:color="auto"/>
              <w:right w:val="single" w:sz="4" w:space="0" w:color="auto"/>
            </w:tcBorders>
            <w:vAlign w:val="center"/>
          </w:tcPr>
          <w:p w:rsidR="00BB6C50" w:rsidRPr="00840032" w:rsidRDefault="00BB6C50" w:rsidP="00BB6C50">
            <w:pPr>
              <w:jc w:val="center"/>
              <w:rPr>
                <w:rFonts w:eastAsia="Calibri" w:cs="Arial"/>
                <w:sz w:val="16"/>
                <w:szCs w:val="16"/>
              </w:rPr>
            </w:pPr>
            <w:r w:rsidRPr="0008071E">
              <w:rPr>
                <w:rFonts w:eastAsia="Calibri" w:cs="Arial"/>
                <w:sz w:val="16"/>
                <w:szCs w:val="16"/>
              </w:rPr>
              <w:t>Gastroenterology</w:t>
            </w:r>
          </w:p>
        </w:tc>
        <w:tc>
          <w:tcPr>
            <w:tcW w:w="3345" w:type="dxa"/>
            <w:tcBorders>
              <w:top w:val="single" w:sz="12"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BB6C50" w:rsidRPr="0008071E" w:rsidRDefault="00BB6C50" w:rsidP="00BB6C50">
            <w:pPr>
              <w:rPr>
                <w:rFonts w:eastAsia="Calibri" w:cs="Arial"/>
                <w:sz w:val="16"/>
                <w:szCs w:val="16"/>
              </w:rPr>
            </w:pPr>
            <w:r w:rsidRPr="0008071E">
              <w:rPr>
                <w:rFonts w:eastAsia="Calibri" w:cs="Arial"/>
                <w:sz w:val="16"/>
                <w:szCs w:val="16"/>
              </w:rPr>
              <w:t>Anja St. Clair-Jones</w:t>
            </w:r>
            <w:r w:rsidRPr="00840032">
              <w:rPr>
                <w:rFonts w:eastAsia="Calibri" w:cs="Arial"/>
                <w:sz w:val="16"/>
                <w:szCs w:val="16"/>
              </w:rPr>
              <w:t xml:space="preserve">, </w:t>
            </w:r>
            <w:r w:rsidRPr="0008071E">
              <w:rPr>
                <w:rFonts w:eastAsia="Calibri" w:cs="Arial"/>
                <w:sz w:val="16"/>
                <w:szCs w:val="16"/>
              </w:rPr>
              <w:t xml:space="preserve">Consultant Pharmacist </w:t>
            </w:r>
          </w:p>
        </w:tc>
        <w:tc>
          <w:tcPr>
            <w:tcW w:w="2100" w:type="dxa"/>
            <w:tcBorders>
              <w:top w:val="single" w:sz="12" w:space="0" w:color="auto"/>
              <w:left w:val="nil"/>
              <w:bottom w:val="single" w:sz="4" w:space="0" w:color="auto"/>
              <w:right w:val="single" w:sz="8" w:space="0" w:color="auto"/>
            </w:tcBorders>
            <w:tcMar>
              <w:top w:w="0" w:type="dxa"/>
              <w:left w:w="108" w:type="dxa"/>
              <w:bottom w:w="0" w:type="dxa"/>
              <w:right w:w="108" w:type="dxa"/>
            </w:tcMar>
            <w:hideMark/>
          </w:tcPr>
          <w:p w:rsidR="00BB6C50" w:rsidRPr="0008071E" w:rsidRDefault="00BB6C50" w:rsidP="00BB6C50">
            <w:pPr>
              <w:rPr>
                <w:rFonts w:eastAsia="Calibri" w:cs="Arial"/>
                <w:sz w:val="16"/>
                <w:szCs w:val="16"/>
              </w:rPr>
            </w:pPr>
            <w:r w:rsidRPr="0008071E">
              <w:rPr>
                <w:rFonts w:eastAsia="Calibri" w:cs="Arial"/>
                <w:sz w:val="16"/>
                <w:szCs w:val="16"/>
              </w:rPr>
              <w:t>01273</w:t>
            </w:r>
            <w:r w:rsidRPr="00840032">
              <w:rPr>
                <w:rFonts w:eastAsia="Calibri" w:cs="Arial"/>
                <w:sz w:val="16"/>
                <w:szCs w:val="16"/>
              </w:rPr>
              <w:t xml:space="preserve"> </w:t>
            </w:r>
            <w:r w:rsidRPr="0008071E">
              <w:rPr>
                <w:rFonts w:eastAsia="Calibri" w:cs="Arial"/>
                <w:sz w:val="16"/>
                <w:szCs w:val="16"/>
              </w:rPr>
              <w:t>696955 Bleep 8824</w:t>
            </w:r>
          </w:p>
        </w:tc>
        <w:tc>
          <w:tcPr>
            <w:tcW w:w="3401" w:type="dxa"/>
            <w:tcBorders>
              <w:top w:val="single" w:sz="12" w:space="0" w:color="auto"/>
              <w:left w:val="nil"/>
              <w:bottom w:val="single" w:sz="4" w:space="0" w:color="auto"/>
              <w:right w:val="single" w:sz="12" w:space="0" w:color="auto"/>
            </w:tcBorders>
            <w:tcMar>
              <w:top w:w="0" w:type="dxa"/>
              <w:left w:w="108" w:type="dxa"/>
              <w:bottom w:w="0" w:type="dxa"/>
              <w:right w:w="108" w:type="dxa"/>
            </w:tcMar>
            <w:hideMark/>
          </w:tcPr>
          <w:p w:rsidR="00BB6C50" w:rsidRPr="0008071E" w:rsidRDefault="00BB6C50" w:rsidP="00BB6C50">
            <w:pPr>
              <w:jc w:val="both"/>
              <w:rPr>
                <w:rFonts w:eastAsia="Calibri" w:cs="Arial"/>
                <w:sz w:val="16"/>
                <w:szCs w:val="16"/>
              </w:rPr>
            </w:pPr>
            <w:hyperlink r:id="rId19" w:history="1">
              <w:r w:rsidRPr="00840032">
                <w:rPr>
                  <w:rFonts w:eastAsia="Calibri" w:cs="Arial"/>
                  <w:sz w:val="16"/>
                  <w:szCs w:val="16"/>
                  <w:u w:val="single"/>
                </w:rPr>
                <w:t>Anja.st.clair-jones@bsuh.nhs.uk</w:t>
              </w:r>
            </w:hyperlink>
            <w:r w:rsidRPr="00840032">
              <w:rPr>
                <w:rFonts w:eastAsia="Calibri" w:cs="Arial"/>
                <w:sz w:val="16"/>
                <w:szCs w:val="16"/>
              </w:rPr>
              <w:t xml:space="preserve"> </w:t>
            </w:r>
          </w:p>
        </w:tc>
      </w:tr>
      <w:tr w:rsidR="00BB6C50" w:rsidRPr="0008071E" w:rsidTr="00BB6C50">
        <w:trPr>
          <w:cantSplit/>
          <w:trHeight w:val="188"/>
        </w:trPr>
        <w:tc>
          <w:tcPr>
            <w:tcW w:w="1526" w:type="dxa"/>
            <w:vMerge/>
            <w:tcBorders>
              <w:left w:val="single" w:sz="12" w:space="0" w:color="auto"/>
              <w:right w:val="single" w:sz="12" w:space="0" w:color="auto"/>
            </w:tcBorders>
            <w:tcMar>
              <w:top w:w="0" w:type="dxa"/>
              <w:left w:w="108" w:type="dxa"/>
              <w:bottom w:w="0" w:type="dxa"/>
              <w:right w:w="108" w:type="dxa"/>
            </w:tcMar>
            <w:vAlign w:val="center"/>
          </w:tcPr>
          <w:p w:rsidR="00BB6C50" w:rsidRPr="0008071E" w:rsidRDefault="00BB6C50" w:rsidP="00BB6C50">
            <w:pPr>
              <w:snapToGrid w:val="0"/>
              <w:spacing w:before="60" w:after="60" w:line="276" w:lineRule="auto"/>
              <w:jc w:val="center"/>
              <w:rPr>
                <w:rFonts w:eastAsia="Calibri" w:cs="Arial"/>
                <w:b/>
                <w:bCs/>
                <w:sz w:val="18"/>
                <w:szCs w:val="18"/>
              </w:rPr>
            </w:pPr>
          </w:p>
        </w:tc>
        <w:tc>
          <w:tcPr>
            <w:tcW w:w="1270" w:type="dxa"/>
            <w:tcBorders>
              <w:top w:val="single" w:sz="4" w:space="0" w:color="auto"/>
              <w:left w:val="single" w:sz="12" w:space="0" w:color="auto"/>
              <w:bottom w:val="single" w:sz="8" w:space="0" w:color="auto"/>
              <w:right w:val="single" w:sz="4" w:space="0" w:color="auto"/>
            </w:tcBorders>
            <w:vAlign w:val="center"/>
          </w:tcPr>
          <w:p w:rsidR="00BB6C50" w:rsidRPr="00840032" w:rsidRDefault="00BB6C50" w:rsidP="00BB6C50">
            <w:pPr>
              <w:jc w:val="center"/>
              <w:rPr>
                <w:rFonts w:eastAsia="Calibri" w:cs="Arial"/>
                <w:sz w:val="16"/>
                <w:szCs w:val="16"/>
              </w:rPr>
            </w:pPr>
            <w:r w:rsidRPr="00840032">
              <w:rPr>
                <w:rFonts w:eastAsia="Calibri" w:cs="Arial"/>
                <w:sz w:val="16"/>
                <w:szCs w:val="16"/>
              </w:rPr>
              <w:t>Neurology</w:t>
            </w:r>
          </w:p>
        </w:tc>
        <w:tc>
          <w:tcPr>
            <w:tcW w:w="334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BB6C50" w:rsidRPr="00840032" w:rsidRDefault="00BB6C50" w:rsidP="00BB6C50">
            <w:pPr>
              <w:rPr>
                <w:rFonts w:eastAsiaTheme="minorHAnsi" w:cs="Arial"/>
                <w:sz w:val="16"/>
                <w:szCs w:val="16"/>
              </w:rPr>
            </w:pPr>
            <w:r w:rsidRPr="00840032">
              <w:rPr>
                <w:rFonts w:cs="Arial"/>
                <w:sz w:val="16"/>
                <w:szCs w:val="16"/>
              </w:rPr>
              <w:t>Dr   Sarah Cooper, Consultant Neurologist</w:t>
            </w:r>
          </w:p>
        </w:tc>
        <w:tc>
          <w:tcPr>
            <w:tcW w:w="21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B6C50" w:rsidRPr="00840032" w:rsidRDefault="00BB6C50" w:rsidP="00BB6C50">
            <w:pPr>
              <w:rPr>
                <w:rFonts w:eastAsiaTheme="minorHAnsi" w:cs="Arial"/>
                <w:sz w:val="16"/>
                <w:szCs w:val="16"/>
              </w:rPr>
            </w:pPr>
            <w:r w:rsidRPr="00840032">
              <w:rPr>
                <w:rFonts w:cs="Arial"/>
                <w:sz w:val="16"/>
                <w:szCs w:val="16"/>
              </w:rPr>
              <w:t xml:space="preserve">01273 696955 </w:t>
            </w:r>
            <w:proofErr w:type="spellStart"/>
            <w:r w:rsidRPr="00840032">
              <w:rPr>
                <w:rFonts w:cs="Arial"/>
                <w:sz w:val="16"/>
                <w:szCs w:val="16"/>
              </w:rPr>
              <w:t>ext</w:t>
            </w:r>
            <w:proofErr w:type="spellEnd"/>
            <w:r w:rsidRPr="00840032">
              <w:rPr>
                <w:rFonts w:cs="Arial"/>
                <w:sz w:val="16"/>
                <w:szCs w:val="16"/>
              </w:rPr>
              <w:t xml:space="preserve"> 62969</w:t>
            </w:r>
          </w:p>
        </w:tc>
        <w:tc>
          <w:tcPr>
            <w:tcW w:w="3401" w:type="dxa"/>
            <w:tcBorders>
              <w:top w:val="single" w:sz="4" w:space="0" w:color="auto"/>
              <w:left w:val="nil"/>
              <w:bottom w:val="single" w:sz="8" w:space="0" w:color="auto"/>
              <w:right w:val="single" w:sz="12" w:space="0" w:color="auto"/>
            </w:tcBorders>
            <w:tcMar>
              <w:top w:w="0" w:type="dxa"/>
              <w:left w:w="108" w:type="dxa"/>
              <w:bottom w:w="0" w:type="dxa"/>
              <w:right w:w="108" w:type="dxa"/>
            </w:tcMar>
          </w:tcPr>
          <w:p w:rsidR="00BB6C50" w:rsidRPr="00840032" w:rsidRDefault="00BB6C50" w:rsidP="00BB6C50">
            <w:pPr>
              <w:rPr>
                <w:rFonts w:eastAsiaTheme="minorHAnsi" w:cs="Arial"/>
                <w:sz w:val="16"/>
                <w:szCs w:val="16"/>
              </w:rPr>
            </w:pPr>
            <w:hyperlink r:id="rId20" w:history="1">
              <w:r w:rsidRPr="00840032">
                <w:rPr>
                  <w:rStyle w:val="Hyperlink"/>
                  <w:rFonts w:cs="Arial"/>
                  <w:color w:val="auto"/>
                  <w:sz w:val="16"/>
                  <w:szCs w:val="16"/>
                </w:rPr>
                <w:t>Sarah.cooper@bsuh.nhs.uk</w:t>
              </w:r>
            </w:hyperlink>
            <w:r w:rsidRPr="00840032">
              <w:rPr>
                <w:rFonts w:cs="Arial"/>
                <w:sz w:val="16"/>
                <w:szCs w:val="16"/>
              </w:rPr>
              <w:t xml:space="preserve"> </w:t>
            </w:r>
          </w:p>
        </w:tc>
      </w:tr>
      <w:tr w:rsidR="00BB6C50" w:rsidRPr="0008071E" w:rsidTr="00BB6C50">
        <w:trPr>
          <w:cantSplit/>
          <w:trHeight w:val="227"/>
        </w:trPr>
        <w:tc>
          <w:tcPr>
            <w:tcW w:w="152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tcPr>
          <w:p w:rsidR="00BB6C50" w:rsidRPr="0008071E" w:rsidRDefault="00BB6C50" w:rsidP="00BB6C50">
            <w:pPr>
              <w:snapToGrid w:val="0"/>
              <w:spacing w:before="60" w:after="60" w:line="276" w:lineRule="auto"/>
              <w:jc w:val="center"/>
              <w:rPr>
                <w:rFonts w:eastAsia="Calibri" w:cs="Arial"/>
                <w:b/>
                <w:bCs/>
                <w:sz w:val="18"/>
                <w:szCs w:val="18"/>
              </w:rPr>
            </w:pPr>
          </w:p>
        </w:tc>
        <w:tc>
          <w:tcPr>
            <w:tcW w:w="1270" w:type="dxa"/>
            <w:tcBorders>
              <w:top w:val="single" w:sz="4" w:space="0" w:color="auto"/>
              <w:left w:val="single" w:sz="12" w:space="0" w:color="auto"/>
              <w:bottom w:val="single" w:sz="12" w:space="0" w:color="auto"/>
              <w:right w:val="single" w:sz="4" w:space="0" w:color="auto"/>
            </w:tcBorders>
            <w:vAlign w:val="center"/>
          </w:tcPr>
          <w:p w:rsidR="00BB6C50" w:rsidRPr="00840032" w:rsidRDefault="00BB6C50" w:rsidP="00BB6C50">
            <w:pPr>
              <w:jc w:val="center"/>
              <w:rPr>
                <w:rFonts w:eastAsia="Calibri" w:cs="Arial"/>
                <w:sz w:val="16"/>
                <w:szCs w:val="16"/>
              </w:rPr>
            </w:pPr>
            <w:r w:rsidRPr="00840032">
              <w:rPr>
                <w:rFonts w:eastAsia="Calibri" w:cs="Arial"/>
                <w:sz w:val="16"/>
                <w:szCs w:val="16"/>
              </w:rPr>
              <w:t>Dermatology</w:t>
            </w:r>
          </w:p>
        </w:tc>
        <w:tc>
          <w:tcPr>
            <w:tcW w:w="3345" w:type="dxa"/>
            <w:tcBorders>
              <w:top w:val="single" w:sz="4" w:space="0" w:color="auto"/>
              <w:left w:val="single" w:sz="4" w:space="0" w:color="auto"/>
              <w:bottom w:val="single" w:sz="12" w:space="0" w:color="auto"/>
              <w:right w:val="single" w:sz="8" w:space="0" w:color="auto"/>
            </w:tcBorders>
            <w:tcMar>
              <w:top w:w="0" w:type="dxa"/>
              <w:left w:w="108" w:type="dxa"/>
              <w:bottom w:w="0" w:type="dxa"/>
              <w:right w:w="108" w:type="dxa"/>
            </w:tcMar>
          </w:tcPr>
          <w:p w:rsidR="00BB6C50" w:rsidRPr="00840032" w:rsidRDefault="00BB6C50" w:rsidP="00BB6C50">
            <w:pPr>
              <w:rPr>
                <w:rFonts w:cs="Arial"/>
                <w:sz w:val="16"/>
                <w:szCs w:val="16"/>
              </w:rPr>
            </w:pPr>
            <w:r w:rsidRPr="00840032">
              <w:rPr>
                <w:rFonts w:cs="Arial"/>
                <w:sz w:val="16"/>
                <w:szCs w:val="16"/>
              </w:rPr>
              <w:t>Dr Paul Farrant, Consultant Dermatologist</w:t>
            </w:r>
          </w:p>
        </w:tc>
        <w:tc>
          <w:tcPr>
            <w:tcW w:w="2100" w:type="dxa"/>
            <w:tcBorders>
              <w:top w:val="single" w:sz="4" w:space="0" w:color="auto"/>
              <w:left w:val="nil"/>
              <w:bottom w:val="single" w:sz="12" w:space="0" w:color="auto"/>
              <w:right w:val="single" w:sz="8" w:space="0" w:color="auto"/>
            </w:tcBorders>
            <w:tcMar>
              <w:top w:w="0" w:type="dxa"/>
              <w:left w:w="108" w:type="dxa"/>
              <w:bottom w:w="0" w:type="dxa"/>
              <w:right w:w="108" w:type="dxa"/>
            </w:tcMar>
          </w:tcPr>
          <w:p w:rsidR="00BB6C50" w:rsidRPr="00840032" w:rsidRDefault="00BB6C50" w:rsidP="00BB6C50">
            <w:pPr>
              <w:rPr>
                <w:rFonts w:cs="Arial"/>
                <w:sz w:val="16"/>
                <w:szCs w:val="16"/>
              </w:rPr>
            </w:pPr>
            <w:r w:rsidRPr="00840032">
              <w:rPr>
                <w:rFonts w:cs="Arial"/>
                <w:sz w:val="16"/>
                <w:szCs w:val="16"/>
              </w:rPr>
              <w:t>01273 665019</w:t>
            </w:r>
          </w:p>
        </w:tc>
        <w:tc>
          <w:tcPr>
            <w:tcW w:w="3401" w:type="dxa"/>
            <w:tcBorders>
              <w:top w:val="single" w:sz="4" w:space="0" w:color="auto"/>
              <w:left w:val="nil"/>
              <w:bottom w:val="single" w:sz="12" w:space="0" w:color="auto"/>
              <w:right w:val="single" w:sz="12" w:space="0" w:color="auto"/>
            </w:tcBorders>
            <w:tcMar>
              <w:top w:w="0" w:type="dxa"/>
              <w:left w:w="108" w:type="dxa"/>
              <w:bottom w:w="0" w:type="dxa"/>
              <w:right w:w="108" w:type="dxa"/>
            </w:tcMar>
          </w:tcPr>
          <w:p w:rsidR="00BB6C50" w:rsidRPr="00840032" w:rsidRDefault="00BB6C50" w:rsidP="00BB6C50">
            <w:pPr>
              <w:rPr>
                <w:rFonts w:cs="Arial"/>
                <w:sz w:val="16"/>
                <w:szCs w:val="16"/>
              </w:rPr>
            </w:pPr>
            <w:hyperlink r:id="rId21" w:history="1">
              <w:r w:rsidRPr="00840032">
                <w:rPr>
                  <w:rStyle w:val="Hyperlink"/>
                  <w:rFonts w:cs="Arial"/>
                  <w:color w:val="auto"/>
                  <w:sz w:val="16"/>
                  <w:szCs w:val="16"/>
                </w:rPr>
                <w:t>Paul.Farrant@bsuh.nhs.uk</w:t>
              </w:r>
            </w:hyperlink>
            <w:r w:rsidRPr="00840032">
              <w:rPr>
                <w:rFonts w:cs="Arial"/>
                <w:sz w:val="16"/>
                <w:szCs w:val="16"/>
              </w:rPr>
              <w:t xml:space="preserve"> </w:t>
            </w:r>
          </w:p>
        </w:tc>
      </w:tr>
      <w:tr w:rsidR="00BB6C50" w:rsidRPr="0008071E" w:rsidTr="00BB6C50">
        <w:trPr>
          <w:cantSplit/>
          <w:trHeight w:val="227"/>
        </w:trPr>
        <w:tc>
          <w:tcPr>
            <w:tcW w:w="1526" w:type="dxa"/>
            <w:vMerge w:val="restart"/>
            <w:tcBorders>
              <w:top w:val="single" w:sz="12" w:space="0" w:color="auto"/>
              <w:left w:val="single" w:sz="12" w:space="0" w:color="auto"/>
              <w:right w:val="single" w:sz="12" w:space="0" w:color="auto"/>
            </w:tcBorders>
            <w:tcMar>
              <w:top w:w="0" w:type="dxa"/>
              <w:left w:w="108" w:type="dxa"/>
              <w:bottom w:w="0" w:type="dxa"/>
              <w:right w:w="108" w:type="dxa"/>
            </w:tcMar>
            <w:vAlign w:val="center"/>
            <w:hideMark/>
          </w:tcPr>
          <w:p w:rsidR="00BB6C50" w:rsidRPr="0008071E" w:rsidRDefault="00BB6C50" w:rsidP="00BB6C50">
            <w:pPr>
              <w:spacing w:line="276" w:lineRule="auto"/>
              <w:jc w:val="center"/>
              <w:rPr>
                <w:rFonts w:eastAsia="Calibri" w:cs="Arial"/>
                <w:b/>
                <w:bCs/>
                <w:sz w:val="18"/>
                <w:szCs w:val="18"/>
              </w:rPr>
            </w:pPr>
            <w:r w:rsidRPr="0008071E">
              <w:rPr>
                <w:rFonts w:eastAsia="Calibri" w:cs="Arial"/>
                <w:b/>
                <w:bCs/>
                <w:sz w:val="18"/>
                <w:szCs w:val="18"/>
              </w:rPr>
              <w:t>Alternative specialist (e.g. departmental contact)</w:t>
            </w:r>
          </w:p>
        </w:tc>
        <w:tc>
          <w:tcPr>
            <w:tcW w:w="1270" w:type="dxa"/>
            <w:tcBorders>
              <w:top w:val="single" w:sz="12" w:space="0" w:color="auto"/>
              <w:left w:val="single" w:sz="12" w:space="0" w:color="auto"/>
              <w:bottom w:val="single" w:sz="4" w:space="0" w:color="auto"/>
              <w:right w:val="single" w:sz="4" w:space="0" w:color="auto"/>
            </w:tcBorders>
            <w:vAlign w:val="center"/>
          </w:tcPr>
          <w:p w:rsidR="00BB6C50" w:rsidRPr="00840032" w:rsidRDefault="00BB6C50" w:rsidP="00BB6C50">
            <w:pPr>
              <w:jc w:val="center"/>
              <w:rPr>
                <w:rFonts w:eastAsia="Calibri" w:cs="Arial"/>
                <w:sz w:val="16"/>
                <w:szCs w:val="16"/>
              </w:rPr>
            </w:pPr>
            <w:r w:rsidRPr="0008071E">
              <w:rPr>
                <w:rFonts w:eastAsia="Calibri" w:cs="Arial"/>
                <w:sz w:val="16"/>
                <w:szCs w:val="16"/>
              </w:rPr>
              <w:t>Gastroenterology</w:t>
            </w:r>
          </w:p>
        </w:tc>
        <w:tc>
          <w:tcPr>
            <w:tcW w:w="3345" w:type="dxa"/>
            <w:tcBorders>
              <w:top w:val="single" w:sz="12"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BB6C50" w:rsidRPr="0008071E" w:rsidRDefault="00BB6C50" w:rsidP="00BB6C50">
            <w:pPr>
              <w:rPr>
                <w:rFonts w:eastAsia="Calibri" w:cs="Arial"/>
                <w:sz w:val="16"/>
                <w:szCs w:val="16"/>
              </w:rPr>
            </w:pPr>
            <w:r w:rsidRPr="00840032">
              <w:rPr>
                <w:rFonts w:eastAsia="Calibri" w:cs="Arial"/>
                <w:sz w:val="16"/>
                <w:szCs w:val="16"/>
              </w:rPr>
              <w:t xml:space="preserve">Dr Melissa Smith, </w:t>
            </w:r>
            <w:r w:rsidRPr="0008071E">
              <w:rPr>
                <w:rFonts w:eastAsia="Calibri" w:cs="Arial"/>
                <w:sz w:val="16"/>
                <w:szCs w:val="16"/>
              </w:rPr>
              <w:t>Consultant Gastroenterologist</w:t>
            </w:r>
          </w:p>
        </w:tc>
        <w:tc>
          <w:tcPr>
            <w:tcW w:w="2100" w:type="dxa"/>
            <w:tcBorders>
              <w:top w:val="single" w:sz="12" w:space="0" w:color="auto"/>
              <w:left w:val="nil"/>
              <w:bottom w:val="single" w:sz="4" w:space="0" w:color="auto"/>
              <w:right w:val="single" w:sz="8" w:space="0" w:color="auto"/>
            </w:tcBorders>
            <w:tcMar>
              <w:top w:w="0" w:type="dxa"/>
              <w:left w:w="108" w:type="dxa"/>
              <w:bottom w:w="0" w:type="dxa"/>
              <w:right w:w="108" w:type="dxa"/>
            </w:tcMar>
            <w:hideMark/>
          </w:tcPr>
          <w:p w:rsidR="00BB6C50" w:rsidRPr="0008071E" w:rsidRDefault="00BB6C50" w:rsidP="00BB6C50">
            <w:pPr>
              <w:rPr>
                <w:rFonts w:eastAsia="Calibri" w:cs="Arial"/>
                <w:sz w:val="16"/>
                <w:szCs w:val="16"/>
              </w:rPr>
            </w:pPr>
            <w:r w:rsidRPr="0008071E">
              <w:rPr>
                <w:rFonts w:eastAsia="Calibri" w:cs="Arial"/>
                <w:sz w:val="16"/>
                <w:szCs w:val="16"/>
              </w:rPr>
              <w:t>01273 696955</w:t>
            </w:r>
            <w:r w:rsidRPr="00840032">
              <w:rPr>
                <w:rFonts w:eastAsia="Calibri" w:cs="Arial"/>
                <w:sz w:val="16"/>
                <w:szCs w:val="16"/>
              </w:rPr>
              <w:t xml:space="preserve"> and ask for </w:t>
            </w:r>
            <w:r w:rsidRPr="0008071E">
              <w:rPr>
                <w:rFonts w:eastAsia="Calibri" w:cs="Arial"/>
                <w:sz w:val="16"/>
                <w:szCs w:val="16"/>
              </w:rPr>
              <w:t>Dr Smith’s secretary</w:t>
            </w:r>
          </w:p>
        </w:tc>
        <w:tc>
          <w:tcPr>
            <w:tcW w:w="3401" w:type="dxa"/>
            <w:tcBorders>
              <w:top w:val="single" w:sz="12" w:space="0" w:color="auto"/>
              <w:left w:val="nil"/>
              <w:bottom w:val="single" w:sz="4" w:space="0" w:color="auto"/>
              <w:right w:val="single" w:sz="12" w:space="0" w:color="auto"/>
            </w:tcBorders>
            <w:tcMar>
              <w:top w:w="0" w:type="dxa"/>
              <w:left w:w="108" w:type="dxa"/>
              <w:bottom w:w="0" w:type="dxa"/>
              <w:right w:w="108" w:type="dxa"/>
            </w:tcMar>
            <w:hideMark/>
          </w:tcPr>
          <w:p w:rsidR="00BB6C50" w:rsidRPr="0008071E" w:rsidRDefault="00BB6C50" w:rsidP="00BB6C50">
            <w:pPr>
              <w:rPr>
                <w:rFonts w:eastAsia="Calibri" w:cs="Arial"/>
                <w:sz w:val="16"/>
                <w:szCs w:val="16"/>
              </w:rPr>
            </w:pPr>
            <w:hyperlink r:id="rId22" w:history="1">
              <w:r w:rsidRPr="00840032">
                <w:rPr>
                  <w:rFonts w:eastAsia="Calibri" w:cs="Arial"/>
                  <w:sz w:val="16"/>
                  <w:szCs w:val="16"/>
                  <w:u w:val="single"/>
                </w:rPr>
                <w:t>Gastroenterology.pharmacists@bsuh.nhs.uk</w:t>
              </w:r>
            </w:hyperlink>
          </w:p>
        </w:tc>
      </w:tr>
      <w:tr w:rsidR="00BB6C50" w:rsidRPr="0008071E" w:rsidTr="00BB6C50">
        <w:trPr>
          <w:cantSplit/>
          <w:trHeight w:val="227"/>
        </w:trPr>
        <w:tc>
          <w:tcPr>
            <w:tcW w:w="1526" w:type="dxa"/>
            <w:vMerge/>
            <w:tcBorders>
              <w:left w:val="single" w:sz="12" w:space="0" w:color="auto"/>
              <w:right w:val="single" w:sz="12" w:space="0" w:color="auto"/>
            </w:tcBorders>
            <w:tcMar>
              <w:top w:w="0" w:type="dxa"/>
              <w:left w:w="108" w:type="dxa"/>
              <w:bottom w:w="0" w:type="dxa"/>
              <w:right w:w="108" w:type="dxa"/>
            </w:tcMar>
            <w:vAlign w:val="center"/>
          </w:tcPr>
          <w:p w:rsidR="00BB6C50" w:rsidRPr="0008071E" w:rsidRDefault="00BB6C50" w:rsidP="00BB6C50">
            <w:pPr>
              <w:spacing w:line="276" w:lineRule="auto"/>
              <w:jc w:val="center"/>
              <w:rPr>
                <w:rFonts w:eastAsia="Calibri" w:cs="Arial"/>
                <w:b/>
                <w:bCs/>
                <w:sz w:val="18"/>
                <w:szCs w:val="18"/>
              </w:rPr>
            </w:pPr>
          </w:p>
        </w:tc>
        <w:tc>
          <w:tcPr>
            <w:tcW w:w="1270" w:type="dxa"/>
            <w:tcBorders>
              <w:top w:val="single" w:sz="4" w:space="0" w:color="auto"/>
              <w:left w:val="single" w:sz="12" w:space="0" w:color="auto"/>
              <w:bottom w:val="single" w:sz="8" w:space="0" w:color="auto"/>
              <w:right w:val="single" w:sz="4" w:space="0" w:color="auto"/>
            </w:tcBorders>
            <w:vAlign w:val="center"/>
          </w:tcPr>
          <w:p w:rsidR="00BB6C50" w:rsidRPr="00840032" w:rsidRDefault="00BB6C50" w:rsidP="00BB6C50">
            <w:pPr>
              <w:jc w:val="center"/>
              <w:rPr>
                <w:rFonts w:eastAsia="Calibri" w:cs="Arial"/>
                <w:sz w:val="16"/>
                <w:szCs w:val="16"/>
              </w:rPr>
            </w:pPr>
            <w:r w:rsidRPr="00840032">
              <w:rPr>
                <w:rFonts w:eastAsia="Calibri" w:cs="Arial"/>
                <w:sz w:val="16"/>
                <w:szCs w:val="16"/>
              </w:rPr>
              <w:t>Neurology</w:t>
            </w:r>
          </w:p>
        </w:tc>
        <w:tc>
          <w:tcPr>
            <w:tcW w:w="334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r w:rsidRPr="00840032">
              <w:rPr>
                <w:rFonts w:eastAsia="Calibri" w:cs="Arial"/>
                <w:sz w:val="16"/>
                <w:szCs w:val="16"/>
              </w:rPr>
              <w:t>Not provided</w:t>
            </w:r>
          </w:p>
        </w:tc>
        <w:tc>
          <w:tcPr>
            <w:tcW w:w="21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r w:rsidRPr="00840032">
              <w:rPr>
                <w:rFonts w:eastAsia="Calibri" w:cs="Arial"/>
                <w:sz w:val="16"/>
                <w:szCs w:val="16"/>
              </w:rPr>
              <w:t>n/a</w:t>
            </w:r>
          </w:p>
        </w:tc>
        <w:tc>
          <w:tcPr>
            <w:tcW w:w="3401" w:type="dxa"/>
            <w:tcBorders>
              <w:top w:val="single" w:sz="4" w:space="0" w:color="auto"/>
              <w:left w:val="nil"/>
              <w:bottom w:val="single" w:sz="8" w:space="0" w:color="auto"/>
              <w:right w:val="single" w:sz="12"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r w:rsidRPr="00840032">
              <w:rPr>
                <w:rFonts w:eastAsia="Calibri" w:cs="Arial"/>
                <w:sz w:val="16"/>
                <w:szCs w:val="16"/>
              </w:rPr>
              <w:t>n/a</w:t>
            </w:r>
          </w:p>
        </w:tc>
      </w:tr>
      <w:tr w:rsidR="00BB6C50" w:rsidRPr="0008071E" w:rsidTr="00BB6C50">
        <w:trPr>
          <w:cantSplit/>
          <w:trHeight w:val="227"/>
        </w:trPr>
        <w:tc>
          <w:tcPr>
            <w:tcW w:w="152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tcPr>
          <w:p w:rsidR="00BB6C50" w:rsidRPr="0008071E" w:rsidRDefault="00BB6C50" w:rsidP="00BB6C50">
            <w:pPr>
              <w:spacing w:line="276" w:lineRule="auto"/>
              <w:jc w:val="center"/>
              <w:rPr>
                <w:rFonts w:eastAsia="Calibri" w:cs="Arial"/>
                <w:b/>
                <w:bCs/>
                <w:sz w:val="18"/>
                <w:szCs w:val="18"/>
              </w:rPr>
            </w:pPr>
          </w:p>
        </w:tc>
        <w:tc>
          <w:tcPr>
            <w:tcW w:w="1270" w:type="dxa"/>
            <w:tcBorders>
              <w:top w:val="single" w:sz="4" w:space="0" w:color="auto"/>
              <w:left w:val="single" w:sz="12" w:space="0" w:color="auto"/>
              <w:bottom w:val="single" w:sz="12" w:space="0" w:color="auto"/>
              <w:right w:val="single" w:sz="4" w:space="0" w:color="auto"/>
            </w:tcBorders>
            <w:vAlign w:val="center"/>
          </w:tcPr>
          <w:p w:rsidR="00BB6C50" w:rsidRPr="00840032" w:rsidRDefault="00BB6C50" w:rsidP="00BB6C50">
            <w:pPr>
              <w:jc w:val="center"/>
              <w:rPr>
                <w:rFonts w:eastAsia="Calibri" w:cs="Arial"/>
                <w:sz w:val="16"/>
                <w:szCs w:val="16"/>
              </w:rPr>
            </w:pPr>
            <w:r w:rsidRPr="00840032">
              <w:rPr>
                <w:rFonts w:eastAsia="Calibri" w:cs="Arial"/>
                <w:sz w:val="16"/>
                <w:szCs w:val="16"/>
              </w:rPr>
              <w:t>Dermatology</w:t>
            </w:r>
          </w:p>
        </w:tc>
        <w:tc>
          <w:tcPr>
            <w:tcW w:w="3345" w:type="dxa"/>
            <w:tcBorders>
              <w:top w:val="single" w:sz="4" w:space="0" w:color="auto"/>
              <w:left w:val="single" w:sz="4" w:space="0" w:color="auto"/>
              <w:bottom w:val="single" w:sz="12" w:space="0" w:color="auto"/>
              <w:right w:val="single" w:sz="8"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r w:rsidRPr="00840032">
              <w:rPr>
                <w:rFonts w:eastAsia="Calibri" w:cs="Arial"/>
                <w:sz w:val="16"/>
                <w:szCs w:val="16"/>
              </w:rPr>
              <w:t>Not provided</w:t>
            </w:r>
          </w:p>
        </w:tc>
        <w:tc>
          <w:tcPr>
            <w:tcW w:w="2100" w:type="dxa"/>
            <w:tcBorders>
              <w:top w:val="single" w:sz="4" w:space="0" w:color="auto"/>
              <w:left w:val="nil"/>
              <w:bottom w:val="single" w:sz="12" w:space="0" w:color="auto"/>
              <w:right w:val="single" w:sz="8"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r w:rsidRPr="00840032">
              <w:rPr>
                <w:rFonts w:eastAsia="Calibri" w:cs="Arial"/>
                <w:sz w:val="16"/>
                <w:szCs w:val="16"/>
              </w:rPr>
              <w:t>n/a</w:t>
            </w:r>
          </w:p>
        </w:tc>
        <w:tc>
          <w:tcPr>
            <w:tcW w:w="3401" w:type="dxa"/>
            <w:tcBorders>
              <w:top w:val="single" w:sz="4" w:space="0" w:color="auto"/>
              <w:left w:val="nil"/>
              <w:bottom w:val="single" w:sz="12" w:space="0" w:color="auto"/>
              <w:right w:val="single" w:sz="12"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hyperlink r:id="rId23" w:history="1">
              <w:r w:rsidRPr="00840032">
                <w:rPr>
                  <w:rStyle w:val="Hyperlink"/>
                  <w:rFonts w:cs="Arial"/>
                  <w:color w:val="auto"/>
                  <w:sz w:val="16"/>
                  <w:szCs w:val="16"/>
                </w:rPr>
                <w:t>bsuh.dermatology@nhs.net</w:t>
              </w:r>
            </w:hyperlink>
          </w:p>
        </w:tc>
      </w:tr>
      <w:tr w:rsidR="00BB6C50" w:rsidRPr="0008071E" w:rsidTr="00BB6C50">
        <w:trPr>
          <w:cantSplit/>
          <w:trHeight w:val="227"/>
        </w:trPr>
        <w:tc>
          <w:tcPr>
            <w:tcW w:w="1526" w:type="dxa"/>
            <w:vMerge w:val="restart"/>
            <w:tcBorders>
              <w:top w:val="single" w:sz="12" w:space="0" w:color="auto"/>
              <w:left w:val="single" w:sz="12" w:space="0" w:color="auto"/>
              <w:right w:val="single" w:sz="12" w:space="0" w:color="auto"/>
            </w:tcBorders>
            <w:tcMar>
              <w:top w:w="0" w:type="dxa"/>
              <w:left w:w="108" w:type="dxa"/>
              <w:bottom w:w="0" w:type="dxa"/>
              <w:right w:w="108" w:type="dxa"/>
            </w:tcMar>
            <w:vAlign w:val="center"/>
            <w:hideMark/>
          </w:tcPr>
          <w:p w:rsidR="00BB6C50" w:rsidRPr="0008071E" w:rsidRDefault="00BB6C50" w:rsidP="00BB6C50">
            <w:pPr>
              <w:spacing w:line="276" w:lineRule="auto"/>
              <w:jc w:val="center"/>
              <w:rPr>
                <w:rFonts w:eastAsia="Calibri" w:cs="Arial"/>
                <w:b/>
                <w:bCs/>
                <w:sz w:val="18"/>
                <w:szCs w:val="18"/>
              </w:rPr>
            </w:pPr>
            <w:r w:rsidRPr="0008071E">
              <w:rPr>
                <w:rFonts w:eastAsia="Calibri" w:cs="Arial"/>
                <w:b/>
                <w:bCs/>
                <w:sz w:val="18"/>
                <w:szCs w:val="18"/>
              </w:rPr>
              <w:t>Specialist pharmacist</w:t>
            </w:r>
          </w:p>
        </w:tc>
        <w:tc>
          <w:tcPr>
            <w:tcW w:w="1270" w:type="dxa"/>
            <w:tcBorders>
              <w:top w:val="single" w:sz="12" w:space="0" w:color="auto"/>
              <w:left w:val="single" w:sz="12" w:space="0" w:color="auto"/>
              <w:bottom w:val="single" w:sz="4" w:space="0" w:color="auto"/>
              <w:right w:val="single" w:sz="4" w:space="0" w:color="auto"/>
            </w:tcBorders>
            <w:vAlign w:val="center"/>
          </w:tcPr>
          <w:p w:rsidR="00BB6C50" w:rsidRPr="00840032" w:rsidRDefault="00BB6C50" w:rsidP="00BB6C50">
            <w:pPr>
              <w:jc w:val="center"/>
              <w:rPr>
                <w:rFonts w:eastAsia="Calibri" w:cs="Arial"/>
                <w:sz w:val="16"/>
                <w:szCs w:val="16"/>
              </w:rPr>
            </w:pPr>
            <w:r w:rsidRPr="0008071E">
              <w:rPr>
                <w:rFonts w:eastAsia="Calibri" w:cs="Arial"/>
                <w:sz w:val="16"/>
                <w:szCs w:val="16"/>
              </w:rPr>
              <w:t>Gastroenterology</w:t>
            </w:r>
          </w:p>
        </w:tc>
        <w:tc>
          <w:tcPr>
            <w:tcW w:w="3345" w:type="dxa"/>
            <w:tcBorders>
              <w:top w:val="single" w:sz="12"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BB6C50" w:rsidRPr="0008071E" w:rsidRDefault="00BB6C50" w:rsidP="00BB6C50">
            <w:pPr>
              <w:rPr>
                <w:rFonts w:eastAsia="Calibri" w:cs="Arial"/>
                <w:sz w:val="16"/>
                <w:szCs w:val="16"/>
              </w:rPr>
            </w:pPr>
            <w:proofErr w:type="spellStart"/>
            <w:r w:rsidRPr="0008071E">
              <w:rPr>
                <w:rFonts w:eastAsia="Calibri" w:cs="Arial"/>
                <w:sz w:val="16"/>
                <w:szCs w:val="16"/>
              </w:rPr>
              <w:t>Archna</w:t>
            </w:r>
            <w:proofErr w:type="spellEnd"/>
            <w:r w:rsidRPr="0008071E">
              <w:rPr>
                <w:rFonts w:eastAsia="Calibri" w:cs="Arial"/>
                <w:sz w:val="16"/>
                <w:szCs w:val="16"/>
              </w:rPr>
              <w:t xml:space="preserve"> </w:t>
            </w:r>
            <w:proofErr w:type="spellStart"/>
            <w:r w:rsidRPr="0008071E">
              <w:rPr>
                <w:rFonts w:eastAsia="Calibri" w:cs="Arial"/>
                <w:sz w:val="16"/>
                <w:szCs w:val="16"/>
              </w:rPr>
              <w:t>Parmar</w:t>
            </w:r>
            <w:proofErr w:type="spellEnd"/>
            <w:r w:rsidRPr="00840032">
              <w:rPr>
                <w:rFonts w:eastAsia="Calibri" w:cs="Arial"/>
                <w:sz w:val="16"/>
                <w:szCs w:val="16"/>
              </w:rPr>
              <w:t xml:space="preserve"> </w:t>
            </w:r>
            <w:r w:rsidRPr="0008071E">
              <w:rPr>
                <w:rFonts w:eastAsia="Calibri" w:cs="Arial"/>
                <w:sz w:val="16"/>
                <w:szCs w:val="16"/>
              </w:rPr>
              <w:t>/</w:t>
            </w:r>
            <w:r w:rsidRPr="00840032">
              <w:rPr>
                <w:rFonts w:eastAsia="Calibri" w:cs="Arial"/>
                <w:sz w:val="16"/>
                <w:szCs w:val="16"/>
              </w:rPr>
              <w:t xml:space="preserve"> </w:t>
            </w:r>
            <w:r w:rsidRPr="0008071E">
              <w:rPr>
                <w:rFonts w:eastAsia="Calibri" w:cs="Arial"/>
                <w:sz w:val="16"/>
                <w:szCs w:val="16"/>
              </w:rPr>
              <w:t>Fiona Rees</w:t>
            </w:r>
          </w:p>
        </w:tc>
        <w:tc>
          <w:tcPr>
            <w:tcW w:w="2100" w:type="dxa"/>
            <w:tcBorders>
              <w:top w:val="single" w:sz="12" w:space="0" w:color="auto"/>
              <w:left w:val="nil"/>
              <w:bottom w:val="single" w:sz="4" w:space="0" w:color="auto"/>
              <w:right w:val="single" w:sz="8" w:space="0" w:color="auto"/>
            </w:tcBorders>
            <w:tcMar>
              <w:top w:w="0" w:type="dxa"/>
              <w:left w:w="108" w:type="dxa"/>
              <w:bottom w:w="0" w:type="dxa"/>
              <w:right w:w="108" w:type="dxa"/>
            </w:tcMar>
            <w:hideMark/>
          </w:tcPr>
          <w:p w:rsidR="00BB6C50" w:rsidRPr="0008071E" w:rsidRDefault="00BB6C50" w:rsidP="00BB6C50">
            <w:pPr>
              <w:rPr>
                <w:rFonts w:eastAsia="Calibri" w:cs="Arial"/>
                <w:sz w:val="16"/>
                <w:szCs w:val="16"/>
              </w:rPr>
            </w:pPr>
            <w:r w:rsidRPr="0008071E">
              <w:rPr>
                <w:rFonts w:eastAsia="Calibri" w:cs="Arial"/>
                <w:sz w:val="16"/>
                <w:szCs w:val="16"/>
              </w:rPr>
              <w:t>01273</w:t>
            </w:r>
            <w:r w:rsidRPr="00840032">
              <w:rPr>
                <w:rFonts w:eastAsia="Calibri" w:cs="Arial"/>
                <w:sz w:val="16"/>
                <w:szCs w:val="16"/>
              </w:rPr>
              <w:t xml:space="preserve"> </w:t>
            </w:r>
            <w:r w:rsidRPr="0008071E">
              <w:rPr>
                <w:rFonts w:eastAsia="Calibri" w:cs="Arial"/>
                <w:sz w:val="16"/>
                <w:szCs w:val="16"/>
              </w:rPr>
              <w:t>696955 Bleep 8497</w:t>
            </w:r>
          </w:p>
        </w:tc>
        <w:tc>
          <w:tcPr>
            <w:tcW w:w="3401" w:type="dxa"/>
            <w:tcBorders>
              <w:top w:val="single" w:sz="12" w:space="0" w:color="auto"/>
              <w:left w:val="nil"/>
              <w:bottom w:val="single" w:sz="4" w:space="0" w:color="auto"/>
              <w:right w:val="single" w:sz="12" w:space="0" w:color="auto"/>
            </w:tcBorders>
            <w:tcMar>
              <w:top w:w="0" w:type="dxa"/>
              <w:left w:w="108" w:type="dxa"/>
              <w:bottom w:w="0" w:type="dxa"/>
              <w:right w:w="108" w:type="dxa"/>
            </w:tcMar>
            <w:hideMark/>
          </w:tcPr>
          <w:p w:rsidR="00BB6C50" w:rsidRPr="0008071E" w:rsidRDefault="00BB6C50" w:rsidP="00BB6C50">
            <w:pPr>
              <w:rPr>
                <w:rFonts w:eastAsia="Calibri" w:cs="Arial"/>
                <w:sz w:val="16"/>
                <w:szCs w:val="16"/>
              </w:rPr>
            </w:pPr>
            <w:hyperlink r:id="rId24" w:history="1">
              <w:r w:rsidRPr="00840032">
                <w:rPr>
                  <w:rFonts w:eastAsia="Calibri" w:cs="Arial"/>
                  <w:sz w:val="16"/>
                  <w:szCs w:val="16"/>
                  <w:u w:val="single"/>
                </w:rPr>
                <w:t>Archna.parmar@bsuh.nhs.uk</w:t>
              </w:r>
            </w:hyperlink>
            <w:r w:rsidRPr="0008071E">
              <w:rPr>
                <w:rFonts w:eastAsia="Calibri" w:cs="Arial"/>
                <w:sz w:val="16"/>
                <w:szCs w:val="16"/>
              </w:rPr>
              <w:t xml:space="preserve"> </w:t>
            </w:r>
            <w:hyperlink r:id="rId25" w:history="1">
              <w:r w:rsidRPr="00840032">
                <w:rPr>
                  <w:rFonts w:eastAsia="Calibri" w:cs="Arial"/>
                  <w:sz w:val="16"/>
                  <w:szCs w:val="16"/>
                  <w:u w:val="single"/>
                </w:rPr>
                <w:t>Fiona.rees@bsuh.nhs.uk</w:t>
              </w:r>
            </w:hyperlink>
            <w:r w:rsidRPr="0008071E">
              <w:rPr>
                <w:rFonts w:eastAsia="Calibri" w:cs="Arial"/>
                <w:sz w:val="16"/>
                <w:szCs w:val="16"/>
              </w:rPr>
              <w:t xml:space="preserve"> </w:t>
            </w:r>
          </w:p>
        </w:tc>
      </w:tr>
      <w:tr w:rsidR="00BB6C50" w:rsidRPr="0008071E" w:rsidTr="00BB6C50">
        <w:trPr>
          <w:cantSplit/>
          <w:trHeight w:val="227"/>
        </w:trPr>
        <w:tc>
          <w:tcPr>
            <w:tcW w:w="1526" w:type="dxa"/>
            <w:vMerge/>
            <w:tcBorders>
              <w:left w:val="single" w:sz="12" w:space="0" w:color="auto"/>
              <w:right w:val="single" w:sz="12" w:space="0" w:color="auto"/>
            </w:tcBorders>
            <w:tcMar>
              <w:top w:w="0" w:type="dxa"/>
              <w:left w:w="108" w:type="dxa"/>
              <w:bottom w:w="0" w:type="dxa"/>
              <w:right w:w="108" w:type="dxa"/>
            </w:tcMar>
            <w:vAlign w:val="center"/>
          </w:tcPr>
          <w:p w:rsidR="00BB6C50" w:rsidRPr="0008071E" w:rsidRDefault="00BB6C50" w:rsidP="00BB6C50">
            <w:pPr>
              <w:spacing w:line="276" w:lineRule="auto"/>
              <w:jc w:val="center"/>
              <w:rPr>
                <w:rFonts w:eastAsia="Calibri" w:cs="Arial"/>
                <w:b/>
                <w:bCs/>
                <w:sz w:val="18"/>
                <w:szCs w:val="18"/>
              </w:rPr>
            </w:pPr>
          </w:p>
        </w:tc>
        <w:tc>
          <w:tcPr>
            <w:tcW w:w="1270" w:type="dxa"/>
            <w:tcBorders>
              <w:top w:val="single" w:sz="4" w:space="0" w:color="auto"/>
              <w:left w:val="single" w:sz="12" w:space="0" w:color="auto"/>
              <w:bottom w:val="single" w:sz="8" w:space="0" w:color="auto"/>
              <w:right w:val="single" w:sz="4" w:space="0" w:color="auto"/>
            </w:tcBorders>
            <w:vAlign w:val="center"/>
          </w:tcPr>
          <w:p w:rsidR="00BB6C50" w:rsidRPr="00840032" w:rsidRDefault="00BB6C50" w:rsidP="00BB6C50">
            <w:pPr>
              <w:jc w:val="center"/>
              <w:rPr>
                <w:rFonts w:eastAsia="Calibri" w:cs="Arial"/>
                <w:sz w:val="16"/>
                <w:szCs w:val="16"/>
              </w:rPr>
            </w:pPr>
            <w:r w:rsidRPr="00840032">
              <w:rPr>
                <w:rFonts w:eastAsia="Calibri" w:cs="Arial"/>
                <w:sz w:val="16"/>
                <w:szCs w:val="16"/>
              </w:rPr>
              <w:t>Neurology</w:t>
            </w:r>
          </w:p>
        </w:tc>
        <w:tc>
          <w:tcPr>
            <w:tcW w:w="334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r w:rsidRPr="00840032">
              <w:rPr>
                <w:rFonts w:eastAsia="Calibri" w:cs="Arial"/>
                <w:sz w:val="16"/>
                <w:szCs w:val="16"/>
              </w:rPr>
              <w:t>Not provided</w:t>
            </w:r>
          </w:p>
        </w:tc>
        <w:tc>
          <w:tcPr>
            <w:tcW w:w="21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r w:rsidRPr="00840032">
              <w:rPr>
                <w:rFonts w:eastAsia="Calibri" w:cs="Arial"/>
                <w:sz w:val="16"/>
                <w:szCs w:val="16"/>
              </w:rPr>
              <w:t>n/a</w:t>
            </w:r>
          </w:p>
        </w:tc>
        <w:tc>
          <w:tcPr>
            <w:tcW w:w="3401" w:type="dxa"/>
            <w:tcBorders>
              <w:top w:val="single" w:sz="4" w:space="0" w:color="auto"/>
              <w:left w:val="nil"/>
              <w:bottom w:val="single" w:sz="8" w:space="0" w:color="auto"/>
              <w:right w:val="single" w:sz="12"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r w:rsidRPr="00840032">
              <w:rPr>
                <w:rFonts w:eastAsia="Calibri" w:cs="Arial"/>
                <w:sz w:val="16"/>
                <w:szCs w:val="16"/>
              </w:rPr>
              <w:t>n/a</w:t>
            </w:r>
          </w:p>
        </w:tc>
      </w:tr>
      <w:tr w:rsidR="00BB6C50" w:rsidRPr="0008071E" w:rsidTr="00BB6C50">
        <w:trPr>
          <w:cantSplit/>
          <w:trHeight w:val="227"/>
        </w:trPr>
        <w:tc>
          <w:tcPr>
            <w:tcW w:w="152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tcPr>
          <w:p w:rsidR="00BB6C50" w:rsidRPr="0008071E" w:rsidRDefault="00BB6C50" w:rsidP="00BB6C50">
            <w:pPr>
              <w:spacing w:line="276" w:lineRule="auto"/>
              <w:jc w:val="center"/>
              <w:rPr>
                <w:rFonts w:eastAsia="Calibri" w:cs="Arial"/>
                <w:b/>
                <w:bCs/>
                <w:sz w:val="18"/>
                <w:szCs w:val="18"/>
              </w:rPr>
            </w:pPr>
          </w:p>
        </w:tc>
        <w:tc>
          <w:tcPr>
            <w:tcW w:w="1270" w:type="dxa"/>
            <w:tcBorders>
              <w:top w:val="single" w:sz="4" w:space="0" w:color="auto"/>
              <w:left w:val="single" w:sz="12" w:space="0" w:color="auto"/>
              <w:bottom w:val="single" w:sz="12" w:space="0" w:color="auto"/>
              <w:right w:val="single" w:sz="4" w:space="0" w:color="auto"/>
            </w:tcBorders>
            <w:vAlign w:val="center"/>
          </w:tcPr>
          <w:p w:rsidR="00BB6C50" w:rsidRPr="00840032" w:rsidRDefault="00BB6C50" w:rsidP="00BB6C50">
            <w:pPr>
              <w:jc w:val="center"/>
              <w:rPr>
                <w:rFonts w:eastAsia="Calibri" w:cs="Arial"/>
                <w:sz w:val="16"/>
                <w:szCs w:val="16"/>
              </w:rPr>
            </w:pPr>
            <w:r w:rsidRPr="00840032">
              <w:rPr>
                <w:rFonts w:eastAsia="Calibri" w:cs="Arial"/>
                <w:sz w:val="16"/>
                <w:szCs w:val="16"/>
              </w:rPr>
              <w:t>Dermatology</w:t>
            </w:r>
          </w:p>
        </w:tc>
        <w:tc>
          <w:tcPr>
            <w:tcW w:w="3345" w:type="dxa"/>
            <w:tcBorders>
              <w:top w:val="single" w:sz="4" w:space="0" w:color="auto"/>
              <w:left w:val="single" w:sz="4" w:space="0" w:color="auto"/>
              <w:bottom w:val="single" w:sz="12" w:space="0" w:color="auto"/>
              <w:right w:val="single" w:sz="8"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r w:rsidRPr="00840032">
              <w:rPr>
                <w:rFonts w:eastAsia="Calibri" w:cs="Arial"/>
                <w:sz w:val="16"/>
                <w:szCs w:val="16"/>
              </w:rPr>
              <w:t>Not provided</w:t>
            </w:r>
          </w:p>
        </w:tc>
        <w:tc>
          <w:tcPr>
            <w:tcW w:w="2100" w:type="dxa"/>
            <w:tcBorders>
              <w:top w:val="single" w:sz="4" w:space="0" w:color="auto"/>
              <w:left w:val="nil"/>
              <w:bottom w:val="single" w:sz="12" w:space="0" w:color="auto"/>
              <w:right w:val="single" w:sz="8"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r w:rsidRPr="00840032">
              <w:rPr>
                <w:rFonts w:eastAsia="Calibri" w:cs="Arial"/>
                <w:sz w:val="16"/>
                <w:szCs w:val="16"/>
              </w:rPr>
              <w:t>n/a</w:t>
            </w:r>
          </w:p>
        </w:tc>
        <w:tc>
          <w:tcPr>
            <w:tcW w:w="3401" w:type="dxa"/>
            <w:tcBorders>
              <w:top w:val="single" w:sz="4" w:space="0" w:color="auto"/>
              <w:left w:val="nil"/>
              <w:bottom w:val="single" w:sz="12" w:space="0" w:color="auto"/>
              <w:right w:val="single" w:sz="12"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r w:rsidRPr="00840032">
              <w:rPr>
                <w:rFonts w:eastAsia="Calibri" w:cs="Arial"/>
                <w:sz w:val="16"/>
                <w:szCs w:val="16"/>
              </w:rPr>
              <w:t>n/a</w:t>
            </w:r>
          </w:p>
        </w:tc>
      </w:tr>
      <w:tr w:rsidR="00BB6C50" w:rsidRPr="0008071E" w:rsidTr="00BB6C50">
        <w:trPr>
          <w:cantSplit/>
          <w:trHeight w:val="227"/>
        </w:trPr>
        <w:tc>
          <w:tcPr>
            <w:tcW w:w="1526" w:type="dxa"/>
            <w:vMerge w:val="restart"/>
            <w:tcBorders>
              <w:top w:val="single" w:sz="12" w:space="0" w:color="auto"/>
              <w:left w:val="single" w:sz="12" w:space="0" w:color="auto"/>
              <w:right w:val="single" w:sz="12" w:space="0" w:color="auto"/>
            </w:tcBorders>
            <w:tcMar>
              <w:top w:w="0" w:type="dxa"/>
              <w:left w:w="108" w:type="dxa"/>
              <w:bottom w:w="0" w:type="dxa"/>
              <w:right w:w="108" w:type="dxa"/>
            </w:tcMar>
            <w:vAlign w:val="center"/>
            <w:hideMark/>
          </w:tcPr>
          <w:p w:rsidR="00BB6C50" w:rsidRPr="0008071E" w:rsidRDefault="00BB6C50" w:rsidP="00BB6C50">
            <w:pPr>
              <w:spacing w:line="276" w:lineRule="auto"/>
              <w:jc w:val="center"/>
              <w:rPr>
                <w:rFonts w:eastAsia="Calibri" w:cs="Arial"/>
                <w:b/>
                <w:bCs/>
                <w:sz w:val="18"/>
                <w:szCs w:val="18"/>
              </w:rPr>
            </w:pPr>
            <w:r w:rsidRPr="0008071E">
              <w:rPr>
                <w:rFonts w:eastAsia="Calibri" w:cs="Arial"/>
                <w:b/>
                <w:bCs/>
                <w:sz w:val="18"/>
                <w:szCs w:val="18"/>
              </w:rPr>
              <w:t>Out of hours (e.g. medical team on call)</w:t>
            </w:r>
          </w:p>
        </w:tc>
        <w:tc>
          <w:tcPr>
            <w:tcW w:w="1270" w:type="dxa"/>
            <w:tcBorders>
              <w:top w:val="single" w:sz="12" w:space="0" w:color="auto"/>
              <w:left w:val="single" w:sz="12" w:space="0" w:color="auto"/>
              <w:bottom w:val="single" w:sz="4" w:space="0" w:color="auto"/>
              <w:right w:val="single" w:sz="4" w:space="0" w:color="auto"/>
            </w:tcBorders>
            <w:vAlign w:val="center"/>
          </w:tcPr>
          <w:p w:rsidR="00BB6C50" w:rsidRPr="00840032" w:rsidRDefault="00BB6C50" w:rsidP="00BB6C50">
            <w:pPr>
              <w:jc w:val="center"/>
              <w:rPr>
                <w:rFonts w:eastAsia="Calibri" w:cs="Arial"/>
                <w:sz w:val="16"/>
                <w:szCs w:val="16"/>
              </w:rPr>
            </w:pPr>
            <w:r w:rsidRPr="0008071E">
              <w:rPr>
                <w:rFonts w:eastAsia="Calibri" w:cs="Arial"/>
                <w:sz w:val="16"/>
                <w:szCs w:val="16"/>
              </w:rPr>
              <w:t>Gastroenterology</w:t>
            </w:r>
          </w:p>
        </w:tc>
        <w:tc>
          <w:tcPr>
            <w:tcW w:w="3345" w:type="dxa"/>
            <w:tcBorders>
              <w:top w:val="single" w:sz="12"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BB6C50" w:rsidRPr="0008071E" w:rsidRDefault="00BB6C50" w:rsidP="00BB6C50">
            <w:pPr>
              <w:rPr>
                <w:rFonts w:eastAsia="Calibri" w:cs="Arial"/>
                <w:sz w:val="16"/>
                <w:szCs w:val="16"/>
              </w:rPr>
            </w:pPr>
            <w:r w:rsidRPr="0008071E">
              <w:rPr>
                <w:rFonts w:eastAsia="Calibri" w:cs="Arial"/>
                <w:sz w:val="16"/>
                <w:szCs w:val="16"/>
              </w:rPr>
              <w:t xml:space="preserve">Medical team </w:t>
            </w:r>
            <w:r w:rsidRPr="00840032">
              <w:rPr>
                <w:rFonts w:eastAsia="Calibri" w:cs="Arial"/>
                <w:sz w:val="16"/>
                <w:szCs w:val="16"/>
              </w:rPr>
              <w:t xml:space="preserve">/ registrar </w:t>
            </w:r>
            <w:r w:rsidRPr="0008071E">
              <w:rPr>
                <w:rFonts w:eastAsia="Calibri" w:cs="Arial"/>
                <w:sz w:val="16"/>
                <w:szCs w:val="16"/>
              </w:rPr>
              <w:t>on</w:t>
            </w:r>
            <w:r w:rsidRPr="00840032">
              <w:rPr>
                <w:rFonts w:eastAsia="Calibri" w:cs="Arial"/>
                <w:sz w:val="16"/>
                <w:szCs w:val="16"/>
              </w:rPr>
              <w:t xml:space="preserve"> </w:t>
            </w:r>
            <w:r w:rsidRPr="0008071E">
              <w:rPr>
                <w:rFonts w:eastAsia="Calibri" w:cs="Arial"/>
                <w:sz w:val="16"/>
                <w:szCs w:val="16"/>
              </w:rPr>
              <w:t>call</w:t>
            </w:r>
          </w:p>
        </w:tc>
        <w:tc>
          <w:tcPr>
            <w:tcW w:w="2100" w:type="dxa"/>
            <w:tcBorders>
              <w:top w:val="single" w:sz="12" w:space="0" w:color="auto"/>
              <w:left w:val="nil"/>
              <w:bottom w:val="single" w:sz="4" w:space="0" w:color="auto"/>
              <w:right w:val="single" w:sz="8" w:space="0" w:color="auto"/>
            </w:tcBorders>
            <w:tcMar>
              <w:top w:w="0" w:type="dxa"/>
              <w:left w:w="108" w:type="dxa"/>
              <w:bottom w:w="0" w:type="dxa"/>
              <w:right w:w="108" w:type="dxa"/>
            </w:tcMar>
            <w:hideMark/>
          </w:tcPr>
          <w:p w:rsidR="00BB6C50" w:rsidRPr="0008071E" w:rsidRDefault="00BB6C50" w:rsidP="00BB6C50">
            <w:pPr>
              <w:rPr>
                <w:rFonts w:eastAsia="Calibri" w:cs="Arial"/>
                <w:sz w:val="16"/>
                <w:szCs w:val="16"/>
              </w:rPr>
            </w:pPr>
            <w:r w:rsidRPr="0008071E">
              <w:rPr>
                <w:rFonts w:eastAsia="Calibri" w:cs="Arial"/>
                <w:sz w:val="16"/>
                <w:szCs w:val="16"/>
              </w:rPr>
              <w:t>01273 696955</w:t>
            </w:r>
          </w:p>
        </w:tc>
        <w:tc>
          <w:tcPr>
            <w:tcW w:w="3401" w:type="dxa"/>
            <w:tcBorders>
              <w:top w:val="single" w:sz="12" w:space="0" w:color="auto"/>
              <w:left w:val="nil"/>
              <w:bottom w:val="single" w:sz="4" w:space="0" w:color="auto"/>
              <w:right w:val="single" w:sz="12" w:space="0" w:color="auto"/>
            </w:tcBorders>
            <w:tcMar>
              <w:top w:w="0" w:type="dxa"/>
              <w:left w:w="108" w:type="dxa"/>
              <w:bottom w:w="0" w:type="dxa"/>
              <w:right w:w="108" w:type="dxa"/>
            </w:tcMar>
            <w:hideMark/>
          </w:tcPr>
          <w:p w:rsidR="00BB6C50" w:rsidRPr="0008071E" w:rsidRDefault="00BB6C50" w:rsidP="00BB6C50">
            <w:pPr>
              <w:rPr>
                <w:rFonts w:eastAsia="Calibri" w:cs="Arial"/>
                <w:sz w:val="16"/>
                <w:szCs w:val="16"/>
              </w:rPr>
            </w:pPr>
            <w:r w:rsidRPr="0008071E">
              <w:rPr>
                <w:rFonts w:eastAsia="Calibri" w:cs="Arial"/>
                <w:sz w:val="16"/>
                <w:szCs w:val="16"/>
              </w:rPr>
              <w:t>     </w:t>
            </w:r>
          </w:p>
        </w:tc>
      </w:tr>
      <w:tr w:rsidR="00BB6C50" w:rsidRPr="0008071E" w:rsidTr="00BB6C50">
        <w:trPr>
          <w:cantSplit/>
          <w:trHeight w:val="227"/>
        </w:trPr>
        <w:tc>
          <w:tcPr>
            <w:tcW w:w="1526" w:type="dxa"/>
            <w:vMerge/>
            <w:tcBorders>
              <w:left w:val="single" w:sz="12" w:space="0" w:color="auto"/>
              <w:right w:val="single" w:sz="12" w:space="0" w:color="auto"/>
            </w:tcBorders>
            <w:tcMar>
              <w:top w:w="0" w:type="dxa"/>
              <w:left w:w="108" w:type="dxa"/>
              <w:bottom w:w="0" w:type="dxa"/>
              <w:right w:w="108" w:type="dxa"/>
            </w:tcMar>
          </w:tcPr>
          <w:p w:rsidR="00BB6C50" w:rsidRPr="0008071E" w:rsidRDefault="00BB6C50" w:rsidP="00BB6C50">
            <w:pPr>
              <w:spacing w:line="276" w:lineRule="auto"/>
              <w:jc w:val="center"/>
              <w:rPr>
                <w:rFonts w:eastAsia="Calibri" w:cs="Arial"/>
                <w:b/>
                <w:bCs/>
                <w:sz w:val="18"/>
                <w:szCs w:val="18"/>
              </w:rPr>
            </w:pPr>
          </w:p>
        </w:tc>
        <w:tc>
          <w:tcPr>
            <w:tcW w:w="1270" w:type="dxa"/>
            <w:tcBorders>
              <w:top w:val="single" w:sz="4" w:space="0" w:color="auto"/>
              <w:left w:val="single" w:sz="12" w:space="0" w:color="auto"/>
              <w:bottom w:val="single" w:sz="4" w:space="0" w:color="auto"/>
              <w:right w:val="single" w:sz="4" w:space="0" w:color="auto"/>
            </w:tcBorders>
            <w:vAlign w:val="center"/>
          </w:tcPr>
          <w:p w:rsidR="00BB6C50" w:rsidRPr="00840032" w:rsidRDefault="00BB6C50" w:rsidP="00BB6C50">
            <w:pPr>
              <w:jc w:val="center"/>
              <w:rPr>
                <w:rFonts w:eastAsia="Calibri" w:cs="Arial"/>
                <w:sz w:val="16"/>
                <w:szCs w:val="16"/>
              </w:rPr>
            </w:pPr>
            <w:r w:rsidRPr="00840032">
              <w:rPr>
                <w:rFonts w:eastAsia="Calibri" w:cs="Arial"/>
                <w:sz w:val="16"/>
                <w:szCs w:val="16"/>
              </w:rPr>
              <w:t>Neurology</w:t>
            </w:r>
          </w:p>
        </w:tc>
        <w:tc>
          <w:tcPr>
            <w:tcW w:w="334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r w:rsidRPr="00840032">
              <w:rPr>
                <w:rFonts w:cs="Arial"/>
                <w:sz w:val="16"/>
                <w:szCs w:val="16"/>
              </w:rPr>
              <w:t>Neurology on call via PRH switch</w:t>
            </w:r>
          </w:p>
        </w:tc>
        <w:tc>
          <w:tcPr>
            <w:tcW w:w="21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r w:rsidRPr="00840032">
              <w:rPr>
                <w:rFonts w:eastAsia="Calibri" w:cs="Arial"/>
                <w:sz w:val="16"/>
                <w:szCs w:val="16"/>
              </w:rPr>
              <w:t>01444 441881</w:t>
            </w:r>
          </w:p>
        </w:tc>
        <w:tc>
          <w:tcPr>
            <w:tcW w:w="3401" w:type="dxa"/>
            <w:tcBorders>
              <w:top w:val="single" w:sz="4" w:space="0" w:color="auto"/>
              <w:left w:val="nil"/>
              <w:bottom w:val="single" w:sz="4" w:space="0" w:color="auto"/>
              <w:right w:val="single" w:sz="12"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p>
        </w:tc>
      </w:tr>
      <w:tr w:rsidR="00BB6C50" w:rsidRPr="0008071E" w:rsidTr="00BB6C50">
        <w:trPr>
          <w:cantSplit/>
          <w:trHeight w:val="227"/>
        </w:trPr>
        <w:tc>
          <w:tcPr>
            <w:tcW w:w="1526" w:type="dxa"/>
            <w:vMerge/>
            <w:tcBorders>
              <w:left w:val="single" w:sz="12" w:space="0" w:color="auto"/>
              <w:bottom w:val="single" w:sz="12" w:space="0" w:color="auto"/>
              <w:right w:val="single" w:sz="12" w:space="0" w:color="auto"/>
            </w:tcBorders>
            <w:tcMar>
              <w:top w:w="0" w:type="dxa"/>
              <w:left w:w="108" w:type="dxa"/>
              <w:bottom w:w="0" w:type="dxa"/>
              <w:right w:w="108" w:type="dxa"/>
            </w:tcMar>
          </w:tcPr>
          <w:p w:rsidR="00BB6C50" w:rsidRPr="0008071E" w:rsidRDefault="00BB6C50" w:rsidP="00BB6C50">
            <w:pPr>
              <w:spacing w:line="276" w:lineRule="auto"/>
              <w:jc w:val="center"/>
              <w:rPr>
                <w:rFonts w:eastAsia="Calibri" w:cs="Arial"/>
                <w:b/>
                <w:bCs/>
                <w:sz w:val="18"/>
                <w:szCs w:val="18"/>
              </w:rPr>
            </w:pPr>
          </w:p>
        </w:tc>
        <w:tc>
          <w:tcPr>
            <w:tcW w:w="1270" w:type="dxa"/>
            <w:tcBorders>
              <w:top w:val="single" w:sz="4" w:space="0" w:color="auto"/>
              <w:left w:val="single" w:sz="12" w:space="0" w:color="auto"/>
              <w:bottom w:val="single" w:sz="12" w:space="0" w:color="auto"/>
              <w:right w:val="single" w:sz="4" w:space="0" w:color="auto"/>
            </w:tcBorders>
            <w:vAlign w:val="center"/>
          </w:tcPr>
          <w:p w:rsidR="00BB6C50" w:rsidRPr="00840032" w:rsidRDefault="00BB6C50" w:rsidP="00BB6C50">
            <w:pPr>
              <w:jc w:val="center"/>
              <w:rPr>
                <w:rFonts w:eastAsia="Calibri" w:cs="Arial"/>
                <w:sz w:val="16"/>
                <w:szCs w:val="16"/>
              </w:rPr>
            </w:pPr>
            <w:r w:rsidRPr="00840032">
              <w:rPr>
                <w:rFonts w:eastAsia="Calibri" w:cs="Arial"/>
                <w:sz w:val="16"/>
                <w:szCs w:val="16"/>
              </w:rPr>
              <w:t>Dermatology</w:t>
            </w:r>
          </w:p>
        </w:tc>
        <w:tc>
          <w:tcPr>
            <w:tcW w:w="3345" w:type="dxa"/>
            <w:tcBorders>
              <w:top w:val="single" w:sz="4" w:space="0" w:color="auto"/>
              <w:left w:val="single" w:sz="4" w:space="0" w:color="auto"/>
              <w:bottom w:val="single" w:sz="12" w:space="0" w:color="auto"/>
              <w:right w:val="single" w:sz="8" w:space="0" w:color="auto"/>
            </w:tcBorders>
            <w:tcMar>
              <w:top w:w="0" w:type="dxa"/>
              <w:left w:w="108" w:type="dxa"/>
              <w:bottom w:w="0" w:type="dxa"/>
              <w:right w:w="108" w:type="dxa"/>
            </w:tcMar>
          </w:tcPr>
          <w:p w:rsidR="00BB6C50" w:rsidRPr="00840032" w:rsidRDefault="00BB6C50" w:rsidP="00BB6C50">
            <w:pPr>
              <w:rPr>
                <w:rFonts w:cs="Arial"/>
                <w:sz w:val="16"/>
                <w:szCs w:val="16"/>
              </w:rPr>
            </w:pPr>
            <w:r w:rsidRPr="00840032">
              <w:rPr>
                <w:rFonts w:cs="Arial"/>
                <w:sz w:val="16"/>
                <w:szCs w:val="16"/>
              </w:rPr>
              <w:t>Acute medics</w:t>
            </w:r>
          </w:p>
        </w:tc>
        <w:tc>
          <w:tcPr>
            <w:tcW w:w="2100" w:type="dxa"/>
            <w:tcBorders>
              <w:top w:val="single" w:sz="4" w:space="0" w:color="auto"/>
              <w:left w:val="nil"/>
              <w:bottom w:val="single" w:sz="12" w:space="0" w:color="auto"/>
              <w:right w:val="single" w:sz="8"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r w:rsidRPr="0008071E">
              <w:rPr>
                <w:rFonts w:eastAsia="Calibri" w:cs="Arial"/>
                <w:sz w:val="16"/>
                <w:szCs w:val="16"/>
              </w:rPr>
              <w:t>01273 696955</w:t>
            </w:r>
          </w:p>
        </w:tc>
        <w:tc>
          <w:tcPr>
            <w:tcW w:w="3401" w:type="dxa"/>
            <w:tcBorders>
              <w:top w:val="single" w:sz="4" w:space="0" w:color="auto"/>
              <w:left w:val="nil"/>
              <w:bottom w:val="single" w:sz="12" w:space="0" w:color="auto"/>
              <w:right w:val="single" w:sz="12" w:space="0" w:color="auto"/>
            </w:tcBorders>
            <w:tcMar>
              <w:top w:w="0" w:type="dxa"/>
              <w:left w:w="108" w:type="dxa"/>
              <w:bottom w:w="0" w:type="dxa"/>
              <w:right w:w="108" w:type="dxa"/>
            </w:tcMar>
          </w:tcPr>
          <w:p w:rsidR="00BB6C50" w:rsidRPr="00840032" w:rsidRDefault="00BB6C50" w:rsidP="00BB6C50">
            <w:pPr>
              <w:rPr>
                <w:rFonts w:eastAsia="Calibri" w:cs="Arial"/>
                <w:sz w:val="16"/>
                <w:szCs w:val="16"/>
              </w:rPr>
            </w:pPr>
          </w:p>
        </w:tc>
      </w:tr>
    </w:tbl>
    <w:p w:rsidR="00BB6C50" w:rsidRDefault="00BB6C50" w:rsidP="008C53DD">
      <w:r>
        <w:rPr>
          <w:noProof/>
          <w:lang w:eastAsia="en-GB"/>
        </w:rPr>
        <mc:AlternateContent>
          <mc:Choice Requires="wps">
            <w:drawing>
              <wp:anchor distT="0" distB="0" distL="114300" distR="114300" simplePos="0" relativeHeight="251665408" behindDoc="0" locked="0" layoutInCell="1" allowOverlap="1" wp14:anchorId="21D5E95B" wp14:editId="26661144">
                <wp:simplePos x="0" y="0"/>
                <wp:positionH relativeFrom="column">
                  <wp:posOffset>114300</wp:posOffset>
                </wp:positionH>
                <wp:positionV relativeFrom="paragraph">
                  <wp:posOffset>2399665</wp:posOffset>
                </wp:positionV>
                <wp:extent cx="5562600" cy="247015"/>
                <wp:effectExtent l="0" t="0" r="19050" b="2032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47015"/>
                        </a:xfrm>
                        <a:prstGeom prst="rect">
                          <a:avLst/>
                        </a:prstGeom>
                        <a:solidFill>
                          <a:srgbClr val="FFFFFF"/>
                        </a:solidFill>
                        <a:ln w="9525">
                          <a:solidFill>
                            <a:srgbClr val="000000"/>
                          </a:solidFill>
                          <a:miter lim="800000"/>
                          <a:headEnd/>
                          <a:tailEnd/>
                        </a:ln>
                      </wps:spPr>
                      <wps:txbx>
                        <w:txbxContent>
                          <w:p w:rsidR="008C53DD" w:rsidRPr="0032631E" w:rsidRDefault="008C53DD" w:rsidP="00C76F3C">
                            <w:pPr>
                              <w:rPr>
                                <w:rFonts w:cs="Arial"/>
                                <w:szCs w:val="20"/>
                              </w:rPr>
                            </w:pPr>
                            <w:r w:rsidRPr="0032631E">
                              <w:rPr>
                                <w:rFonts w:cs="Arial"/>
                                <w:szCs w:val="20"/>
                              </w:rPr>
                              <w:t>Link to full SCG:</w:t>
                            </w:r>
                            <w:r>
                              <w:rPr>
                                <w:rFonts w:cs="Arial"/>
                                <w:szCs w:val="20"/>
                              </w:rPr>
                              <w:t xml:space="preserve"> </w:t>
                            </w:r>
                            <w:hyperlink r:id="rId26" w:history="1">
                              <w:r w:rsidR="00C76F3C" w:rsidRPr="00C0126A">
                                <w:rPr>
                                  <w:rStyle w:val="Hyperlink"/>
                                  <w:rFonts w:cs="Arial"/>
                                  <w:szCs w:val="20"/>
                                </w:rPr>
                                <w:t>https://www.gp.brightonandhoveccg.nhs.uk/shared-care-prescribing-guidelines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07" o:spid="_x0000_s1027" type="#_x0000_t202" style="position:absolute;margin-left:9pt;margin-top:188.95pt;width:438pt;height:19.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">
                <v:textbox style="mso-fit-shape-to-text:t">
                  <w:txbxContent>
                    <w:p w:rsidR="008C53DD" w:rsidRPr="0032631E" w:rsidRDefault="008C53DD" w:rsidP="00C76F3C">
                      <w:pPr>
                        <w:rPr>
                          <w:rFonts w:cs="Arial"/>
                          <w:szCs w:val="20"/>
                        </w:rPr>
                      </w:pPr>
                      <w:r w:rsidRPr="0032631E">
                        <w:rPr>
                          <w:rFonts w:cs="Arial"/>
                          <w:szCs w:val="20"/>
                        </w:rPr>
                        <w:t>Link to full SCG:</w:t>
                      </w:r>
                      <w:r>
                        <w:rPr>
                          <w:rFonts w:cs="Arial"/>
                          <w:szCs w:val="20"/>
                        </w:rPr>
                        <w:t xml:space="preserve"> </w:t>
                      </w:r>
                      <w:hyperlink r:id="rId27" w:history="1">
                        <w:r w:rsidR="00C76F3C" w:rsidRPr="00C0126A">
                          <w:rPr>
                            <w:rStyle w:val="Hyperlink"/>
                            <w:rFonts w:cs="Arial"/>
                            <w:szCs w:val="20"/>
                          </w:rPr>
                          <w:t>https://www.gp.brightonandhoveccg.nhs.uk/shared-care-prescribing-guidelines</w:t>
                        </w:r>
                      </w:hyperlink>
                    </w:p>
                  </w:txbxContent>
                </v:textbox>
              </v:shape>
            </w:pict>
          </mc:Fallback>
        </mc:AlternateContent>
      </w:r>
    </w:p>
    <w:p w:rsidR="00BD03E6" w:rsidRDefault="00BD03E6" w:rsidP="008C53DD"/>
    <w:sectPr w:rsidR="00BD03E6" w:rsidSect="00BB6C50">
      <w:pgSz w:w="11906" w:h="16838"/>
      <w:pgMar w:top="567" w:right="1134" w:bottom="56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F3C" w:rsidRDefault="00C76F3C" w:rsidP="00C76F3C">
      <w:r>
        <w:separator/>
      </w:r>
    </w:p>
  </w:endnote>
  <w:endnote w:type="continuationSeparator" w:id="0">
    <w:p w:rsidR="00C76F3C" w:rsidRDefault="00C76F3C" w:rsidP="00C7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HelvLigh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3C" w:rsidRPr="00C76F3C" w:rsidRDefault="00C76F3C" w:rsidP="00C76F3C">
    <w:pPr>
      <w:pStyle w:val="Footer"/>
      <w:tabs>
        <w:tab w:val="clear" w:pos="4153"/>
        <w:tab w:val="clear" w:pos="8306"/>
      </w:tabs>
      <w:rPr>
        <w:rFonts w:cs="Arial"/>
      </w:rPr>
    </w:pPr>
    <w:r w:rsidRPr="00BA5240">
      <w:rPr>
        <w:rFonts w:cs="Arial"/>
        <w:noProof/>
      </w:rPr>
      <w:t>Review date: December 2021</w:t>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r>
    <w:r w:rsidRPr="00BA5240">
      <w:rPr>
        <w:rFonts w:cs="Arial"/>
      </w:rPr>
      <w:fldChar w:fldCharType="begin"/>
    </w:r>
    <w:r w:rsidRPr="00BA5240">
      <w:rPr>
        <w:rFonts w:cs="Arial"/>
      </w:rPr>
      <w:instrText xml:space="preserve"> PAGE   \* MERGEFORMAT </w:instrText>
    </w:r>
    <w:r w:rsidRPr="00BA5240">
      <w:rPr>
        <w:rFonts w:cs="Arial"/>
      </w:rPr>
      <w:fldChar w:fldCharType="separate"/>
    </w:r>
    <w:r w:rsidR="00BB6C50">
      <w:rPr>
        <w:rFonts w:cs="Arial"/>
        <w:noProof/>
      </w:rPr>
      <w:t>6</w:t>
    </w:r>
    <w:r w:rsidRPr="00BA5240">
      <w:rPr>
        <w:rFonts w:cs="Arial"/>
        <w:noProof/>
      </w:rPr>
      <w:fldChar w:fldCharType="end"/>
    </w:r>
    <w:r>
      <w:rPr>
        <w:rFonts w:cs="Arial"/>
        <w:noProof/>
      </w:rPr>
      <w:t xml:space="preserve"> of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F3C" w:rsidRDefault="00C76F3C" w:rsidP="00C76F3C">
      <w:r>
        <w:separator/>
      </w:r>
    </w:p>
  </w:footnote>
  <w:footnote w:type="continuationSeparator" w:id="0">
    <w:p w:rsidR="00C76F3C" w:rsidRDefault="00C76F3C" w:rsidP="00C76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CA8"/>
    <w:multiLevelType w:val="hybridMultilevel"/>
    <w:tmpl w:val="BD92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CF4CBB"/>
    <w:multiLevelType w:val="hybridMultilevel"/>
    <w:tmpl w:val="D7C4F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662B42"/>
    <w:multiLevelType w:val="hybridMultilevel"/>
    <w:tmpl w:val="62220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DE2A05"/>
    <w:multiLevelType w:val="hybridMultilevel"/>
    <w:tmpl w:val="559245DA"/>
    <w:lvl w:ilvl="0" w:tplc="08090001">
      <w:start w:val="1"/>
      <w:numFmt w:val="bullet"/>
      <w:lvlText w:val=""/>
      <w:lvlJc w:val="left"/>
      <w:pPr>
        <w:tabs>
          <w:tab w:val="num" w:pos="360"/>
        </w:tabs>
        <w:ind w:left="340" w:hanging="340"/>
      </w:pPr>
      <w:rPr>
        <w:rFonts w:ascii="Symbol" w:hAnsi="Symbol" w:hint="default"/>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035029D"/>
    <w:multiLevelType w:val="hybridMultilevel"/>
    <w:tmpl w:val="D47072D0"/>
    <w:lvl w:ilvl="0" w:tplc="8D8235FE">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5A213C2"/>
    <w:multiLevelType w:val="hybridMultilevel"/>
    <w:tmpl w:val="25A22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990E57"/>
    <w:multiLevelType w:val="hybridMultilevel"/>
    <w:tmpl w:val="9E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0A5C6A"/>
    <w:multiLevelType w:val="hybridMultilevel"/>
    <w:tmpl w:val="1D28E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B524D7B"/>
    <w:multiLevelType w:val="hybridMultilevel"/>
    <w:tmpl w:val="1898DF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D916A3D"/>
    <w:multiLevelType w:val="hybridMultilevel"/>
    <w:tmpl w:val="EAC2A174"/>
    <w:lvl w:ilvl="0" w:tplc="08090001">
      <w:start w:val="1"/>
      <w:numFmt w:val="bullet"/>
      <w:lvlText w:val=""/>
      <w:lvlJc w:val="left"/>
      <w:pPr>
        <w:tabs>
          <w:tab w:val="num" w:pos="360"/>
        </w:tabs>
        <w:ind w:left="340" w:hanging="340"/>
      </w:pPr>
      <w:rPr>
        <w:rFonts w:ascii="Symbol" w:hAnsi="Symbo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EA13126"/>
    <w:multiLevelType w:val="hybridMultilevel"/>
    <w:tmpl w:val="82CA0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8135B3"/>
    <w:multiLevelType w:val="hybridMultilevel"/>
    <w:tmpl w:val="934C7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CA4838"/>
    <w:multiLevelType w:val="hybridMultilevel"/>
    <w:tmpl w:val="BD0AB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90677B2"/>
    <w:multiLevelType w:val="hybridMultilevel"/>
    <w:tmpl w:val="AFB64C82"/>
    <w:lvl w:ilvl="0" w:tplc="20DE4446">
      <w:start w:val="1"/>
      <w:numFmt w:val="decimal"/>
      <w:lvlText w:val="%1"/>
      <w:lvlJc w:val="left"/>
      <w:pPr>
        <w:tabs>
          <w:tab w:val="num" w:pos="360"/>
        </w:tabs>
        <w:ind w:left="340" w:hanging="34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97642C6"/>
    <w:multiLevelType w:val="hybridMultilevel"/>
    <w:tmpl w:val="CCA671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A874513"/>
    <w:multiLevelType w:val="hybridMultilevel"/>
    <w:tmpl w:val="549C3EEE"/>
    <w:lvl w:ilvl="0" w:tplc="08090001">
      <w:start w:val="1"/>
      <w:numFmt w:val="bullet"/>
      <w:lvlText w:val=""/>
      <w:lvlJc w:val="left"/>
      <w:pPr>
        <w:tabs>
          <w:tab w:val="num" w:pos="360"/>
        </w:tabs>
        <w:ind w:left="340" w:hanging="340"/>
      </w:pPr>
      <w:rPr>
        <w:rFonts w:ascii="Symbol" w:hAnsi="Symbo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23E22A2"/>
    <w:multiLevelType w:val="hybridMultilevel"/>
    <w:tmpl w:val="9E6648B0"/>
    <w:lvl w:ilvl="0" w:tplc="149C1CC0">
      <w:start w:val="1"/>
      <w:numFmt w:val="decimal"/>
      <w:lvlText w:val="%1"/>
      <w:lvlJc w:val="left"/>
      <w:pPr>
        <w:tabs>
          <w:tab w:val="num" w:pos="360"/>
        </w:tabs>
        <w:ind w:left="340" w:hanging="340"/>
      </w:pPr>
      <w:rPr>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4805A9B"/>
    <w:multiLevelType w:val="hybridMultilevel"/>
    <w:tmpl w:val="8DCC7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E3F3ED7"/>
    <w:multiLevelType w:val="hybridMultilevel"/>
    <w:tmpl w:val="A6D6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F6238F"/>
    <w:multiLevelType w:val="hybridMultilevel"/>
    <w:tmpl w:val="A52E8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C1E542E"/>
    <w:multiLevelType w:val="hybridMultilevel"/>
    <w:tmpl w:val="5A66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7A299A"/>
    <w:multiLevelType w:val="hybridMultilevel"/>
    <w:tmpl w:val="5E1EF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02443CC"/>
    <w:multiLevelType w:val="hybridMultilevel"/>
    <w:tmpl w:val="3C141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0F92119"/>
    <w:multiLevelType w:val="hybridMultilevel"/>
    <w:tmpl w:val="999CA40A"/>
    <w:lvl w:ilvl="0" w:tplc="8572FB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D820F1"/>
    <w:multiLevelType w:val="hybridMultilevel"/>
    <w:tmpl w:val="5140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CB2BEC"/>
    <w:multiLevelType w:val="hybridMultilevel"/>
    <w:tmpl w:val="D4CC54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5CB1758"/>
    <w:multiLevelType w:val="hybridMultilevel"/>
    <w:tmpl w:val="71E03048"/>
    <w:lvl w:ilvl="0" w:tplc="08090001">
      <w:start w:val="1"/>
      <w:numFmt w:val="bullet"/>
      <w:lvlText w:val=""/>
      <w:lvlJc w:val="left"/>
      <w:pPr>
        <w:tabs>
          <w:tab w:val="num" w:pos="360"/>
        </w:tabs>
        <w:ind w:left="360" w:hanging="360"/>
      </w:pPr>
      <w:rPr>
        <w:rFonts w:ascii="Symbol" w:hAnsi="Symbol"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nsid w:val="5A7F0636"/>
    <w:multiLevelType w:val="hybridMultilevel"/>
    <w:tmpl w:val="0632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B81BC9"/>
    <w:multiLevelType w:val="hybridMultilevel"/>
    <w:tmpl w:val="25464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BC71F98"/>
    <w:multiLevelType w:val="hybridMultilevel"/>
    <w:tmpl w:val="DBCCD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D804582"/>
    <w:multiLevelType w:val="hybridMultilevel"/>
    <w:tmpl w:val="84F6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2C6947"/>
    <w:multiLevelType w:val="hybridMultilevel"/>
    <w:tmpl w:val="1C58DB66"/>
    <w:lvl w:ilvl="0" w:tplc="DE32BDFE">
      <w:start w:val="1"/>
      <w:numFmt w:val="decimal"/>
      <w:lvlText w:val="%1"/>
      <w:lvlJc w:val="left"/>
      <w:pPr>
        <w:tabs>
          <w:tab w:val="num" w:pos="360"/>
        </w:tabs>
        <w:ind w:left="340" w:hanging="34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5C12EA3"/>
    <w:multiLevelType w:val="hybridMultilevel"/>
    <w:tmpl w:val="E04086DA"/>
    <w:lvl w:ilvl="0" w:tplc="08090001">
      <w:start w:val="1"/>
      <w:numFmt w:val="bullet"/>
      <w:lvlText w:val=""/>
      <w:lvlJc w:val="left"/>
      <w:pPr>
        <w:tabs>
          <w:tab w:val="num" w:pos="360"/>
        </w:tabs>
        <w:ind w:left="360" w:hanging="360"/>
      </w:pPr>
      <w:rPr>
        <w:rFonts w:ascii="Symbol" w:hAnsi="Symbol"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nsid w:val="76BE3A0C"/>
    <w:multiLevelType w:val="hybridMultilevel"/>
    <w:tmpl w:val="486EF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9A3296C"/>
    <w:multiLevelType w:val="hybridMultilevel"/>
    <w:tmpl w:val="886E6858"/>
    <w:lvl w:ilvl="0" w:tplc="DE32BDFE">
      <w:start w:val="1"/>
      <w:numFmt w:val="decimal"/>
      <w:lvlText w:val="%1"/>
      <w:lvlJc w:val="left"/>
      <w:pPr>
        <w:tabs>
          <w:tab w:val="num" w:pos="360"/>
        </w:tabs>
        <w:ind w:left="340" w:hanging="34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9BA2BE7"/>
    <w:multiLevelType w:val="hybridMultilevel"/>
    <w:tmpl w:val="FA04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165F63"/>
    <w:multiLevelType w:val="hybridMultilevel"/>
    <w:tmpl w:val="2F74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73FB9"/>
    <w:multiLevelType w:val="hybridMultilevel"/>
    <w:tmpl w:val="549E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C52F78"/>
    <w:multiLevelType w:val="hybridMultilevel"/>
    <w:tmpl w:val="C86EC434"/>
    <w:lvl w:ilvl="0" w:tplc="08090001">
      <w:start w:val="1"/>
      <w:numFmt w:val="bullet"/>
      <w:lvlText w:val=""/>
      <w:lvlJc w:val="left"/>
      <w:pPr>
        <w:tabs>
          <w:tab w:val="num" w:pos="360"/>
        </w:tabs>
        <w:ind w:left="360" w:hanging="360"/>
      </w:pPr>
      <w:rPr>
        <w:rFonts w:ascii="Symbol" w:hAnsi="Symbol" w:hint="default"/>
        <w:b/>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nsid w:val="7F5B2B62"/>
    <w:multiLevelType w:val="hybridMultilevel"/>
    <w:tmpl w:val="12BC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6"/>
  </w:num>
  <w:num w:numId="4">
    <w:abstractNumId w:val="31"/>
  </w:num>
  <w:num w:numId="5">
    <w:abstractNumId w:val="34"/>
  </w:num>
  <w:num w:numId="6">
    <w:abstractNumId w:val="13"/>
  </w:num>
  <w:num w:numId="7">
    <w:abstractNumId w:val="28"/>
  </w:num>
  <w:num w:numId="8">
    <w:abstractNumId w:val="10"/>
  </w:num>
  <w:num w:numId="9">
    <w:abstractNumId w:val="17"/>
  </w:num>
  <w:num w:numId="10">
    <w:abstractNumId w:val="23"/>
  </w:num>
  <w:num w:numId="11">
    <w:abstractNumId w:val="11"/>
  </w:num>
  <w:num w:numId="12">
    <w:abstractNumId w:val="0"/>
  </w:num>
  <w:num w:numId="13">
    <w:abstractNumId w:val="29"/>
  </w:num>
  <w:num w:numId="14">
    <w:abstractNumId w:val="25"/>
  </w:num>
  <w:num w:numId="15">
    <w:abstractNumId w:val="26"/>
  </w:num>
  <w:num w:numId="16">
    <w:abstractNumId w:val="36"/>
  </w:num>
  <w:num w:numId="17">
    <w:abstractNumId w:val="14"/>
  </w:num>
  <w:num w:numId="18">
    <w:abstractNumId w:val="38"/>
  </w:num>
  <w:num w:numId="19">
    <w:abstractNumId w:val="32"/>
  </w:num>
  <w:num w:numId="20">
    <w:abstractNumId w:val="35"/>
  </w:num>
  <w:num w:numId="21">
    <w:abstractNumId w:val="12"/>
  </w:num>
  <w:num w:numId="22">
    <w:abstractNumId w:val="21"/>
  </w:num>
  <w:num w:numId="23">
    <w:abstractNumId w:val="22"/>
  </w:num>
  <w:num w:numId="24">
    <w:abstractNumId w:val="5"/>
  </w:num>
  <w:num w:numId="25">
    <w:abstractNumId w:val="18"/>
  </w:num>
  <w:num w:numId="26">
    <w:abstractNumId w:val="2"/>
  </w:num>
  <w:num w:numId="27">
    <w:abstractNumId w:val="19"/>
  </w:num>
  <w:num w:numId="28">
    <w:abstractNumId w:val="25"/>
  </w:num>
  <w:num w:numId="29">
    <w:abstractNumId w:val="5"/>
  </w:num>
  <w:num w:numId="30">
    <w:abstractNumId w:val="3"/>
  </w:num>
  <w:num w:numId="31">
    <w:abstractNumId w:val="9"/>
  </w:num>
  <w:num w:numId="32">
    <w:abstractNumId w:val="33"/>
  </w:num>
  <w:num w:numId="33">
    <w:abstractNumId w:val="15"/>
  </w:num>
  <w:num w:numId="34">
    <w:abstractNumId w:val="39"/>
  </w:num>
  <w:num w:numId="35">
    <w:abstractNumId w:val="8"/>
  </w:num>
  <w:num w:numId="36">
    <w:abstractNumId w:val="30"/>
  </w:num>
  <w:num w:numId="37">
    <w:abstractNumId w:val="37"/>
  </w:num>
  <w:num w:numId="38">
    <w:abstractNumId w:val="24"/>
  </w:num>
  <w:num w:numId="39">
    <w:abstractNumId w:val="27"/>
  </w:num>
  <w:num w:numId="40">
    <w:abstractNumId w:val="6"/>
  </w:num>
  <w:num w:numId="41">
    <w:abstractNumId w:val="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FF"/>
    <w:rsid w:val="00020407"/>
    <w:rsid w:val="000576E6"/>
    <w:rsid w:val="000C0BA1"/>
    <w:rsid w:val="000C6DB2"/>
    <w:rsid w:val="000F2F89"/>
    <w:rsid w:val="000F35D1"/>
    <w:rsid w:val="00170245"/>
    <w:rsid w:val="001771B1"/>
    <w:rsid w:val="001A04ED"/>
    <w:rsid w:val="001B7584"/>
    <w:rsid w:val="001D4A97"/>
    <w:rsid w:val="00260B7E"/>
    <w:rsid w:val="002835F0"/>
    <w:rsid w:val="00284D78"/>
    <w:rsid w:val="002C3403"/>
    <w:rsid w:val="00323816"/>
    <w:rsid w:val="003519F0"/>
    <w:rsid w:val="00377EB7"/>
    <w:rsid w:val="00380FE0"/>
    <w:rsid w:val="003B2EFA"/>
    <w:rsid w:val="003D378F"/>
    <w:rsid w:val="0041581B"/>
    <w:rsid w:val="00452CBB"/>
    <w:rsid w:val="004C1A79"/>
    <w:rsid w:val="00507044"/>
    <w:rsid w:val="00515ADB"/>
    <w:rsid w:val="00525475"/>
    <w:rsid w:val="005731BB"/>
    <w:rsid w:val="005C5EA7"/>
    <w:rsid w:val="00645256"/>
    <w:rsid w:val="0067252B"/>
    <w:rsid w:val="00676B29"/>
    <w:rsid w:val="006B577F"/>
    <w:rsid w:val="006F63A0"/>
    <w:rsid w:val="007103FF"/>
    <w:rsid w:val="0072121B"/>
    <w:rsid w:val="0073243E"/>
    <w:rsid w:val="00733267"/>
    <w:rsid w:val="0074141D"/>
    <w:rsid w:val="00742BB3"/>
    <w:rsid w:val="007E30EB"/>
    <w:rsid w:val="00853215"/>
    <w:rsid w:val="0086119C"/>
    <w:rsid w:val="00866B5F"/>
    <w:rsid w:val="008C53DD"/>
    <w:rsid w:val="009A6050"/>
    <w:rsid w:val="009A6602"/>
    <w:rsid w:val="009E4975"/>
    <w:rsid w:val="00A970E8"/>
    <w:rsid w:val="00AE06CA"/>
    <w:rsid w:val="00AF61E9"/>
    <w:rsid w:val="00B23DF0"/>
    <w:rsid w:val="00B44B7C"/>
    <w:rsid w:val="00BB6C50"/>
    <w:rsid w:val="00BD03E6"/>
    <w:rsid w:val="00C454C7"/>
    <w:rsid w:val="00C5444A"/>
    <w:rsid w:val="00C701EA"/>
    <w:rsid w:val="00C72E8A"/>
    <w:rsid w:val="00C76F3C"/>
    <w:rsid w:val="00C93A04"/>
    <w:rsid w:val="00C93BD4"/>
    <w:rsid w:val="00C94CBB"/>
    <w:rsid w:val="00CB4CD3"/>
    <w:rsid w:val="00CC30D7"/>
    <w:rsid w:val="00CC7B47"/>
    <w:rsid w:val="00CD3DD6"/>
    <w:rsid w:val="00D362AE"/>
    <w:rsid w:val="00D37B9C"/>
    <w:rsid w:val="00D53860"/>
    <w:rsid w:val="00D65C11"/>
    <w:rsid w:val="00DE07DA"/>
    <w:rsid w:val="00E8374C"/>
    <w:rsid w:val="00F21EC2"/>
    <w:rsid w:val="00FA18CB"/>
    <w:rsid w:val="00FE177E"/>
    <w:rsid w:val="00FE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F0"/>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0B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4525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256"/>
    <w:pPr>
      <w:jc w:val="center"/>
    </w:pPr>
    <w:rPr>
      <w:b/>
      <w:bCs/>
    </w:rPr>
  </w:style>
  <w:style w:type="character" w:customStyle="1" w:styleId="TitleChar">
    <w:name w:val="Title Char"/>
    <w:basedOn w:val="DefaultParagraphFont"/>
    <w:link w:val="Title"/>
    <w:rsid w:val="00645256"/>
    <w:rPr>
      <w:rFonts w:ascii="Comic Sans MS" w:eastAsia="Times New Roman" w:hAnsi="Comic Sans MS" w:cs="Times New Roman"/>
      <w:b/>
      <w:bCs/>
      <w:szCs w:val="24"/>
    </w:rPr>
  </w:style>
  <w:style w:type="paragraph" w:styleId="BodyText3">
    <w:name w:val="Body Text 3"/>
    <w:basedOn w:val="Normal"/>
    <w:link w:val="BodyText3Char"/>
    <w:rsid w:val="00645256"/>
  </w:style>
  <w:style w:type="character" w:customStyle="1" w:styleId="BodyText3Char">
    <w:name w:val="Body Text 3 Char"/>
    <w:basedOn w:val="DefaultParagraphFont"/>
    <w:link w:val="BodyText3"/>
    <w:rsid w:val="00645256"/>
    <w:rPr>
      <w:rFonts w:ascii="Comic Sans MS" w:eastAsia="Times New Roman" w:hAnsi="Comic Sans MS" w:cs="Times New Roman"/>
      <w:sz w:val="20"/>
      <w:szCs w:val="24"/>
    </w:rPr>
  </w:style>
  <w:style w:type="paragraph" w:styleId="Subtitle">
    <w:name w:val="Subtitle"/>
    <w:basedOn w:val="Normal"/>
    <w:link w:val="SubtitleChar"/>
    <w:qFormat/>
    <w:rsid w:val="00645256"/>
    <w:pPr>
      <w:jc w:val="center"/>
    </w:pPr>
    <w:rPr>
      <w:b/>
      <w:bCs/>
    </w:rPr>
  </w:style>
  <w:style w:type="character" w:customStyle="1" w:styleId="SubtitleChar">
    <w:name w:val="Subtitle Char"/>
    <w:basedOn w:val="DefaultParagraphFont"/>
    <w:link w:val="Subtitle"/>
    <w:rsid w:val="00645256"/>
    <w:rPr>
      <w:rFonts w:ascii="Comic Sans MS" w:eastAsia="Times New Roman" w:hAnsi="Comic Sans MS" w:cs="Times New Roman"/>
      <w:b/>
      <w:bCs/>
      <w:szCs w:val="24"/>
    </w:rPr>
  </w:style>
  <w:style w:type="paragraph" w:styleId="Footer">
    <w:name w:val="footer"/>
    <w:basedOn w:val="Normal"/>
    <w:link w:val="FooterChar"/>
    <w:rsid w:val="00645256"/>
    <w:pPr>
      <w:tabs>
        <w:tab w:val="center" w:pos="4153"/>
        <w:tab w:val="right" w:pos="8306"/>
      </w:tabs>
    </w:pPr>
  </w:style>
  <w:style w:type="character" w:customStyle="1" w:styleId="FooterChar">
    <w:name w:val="Footer Char"/>
    <w:basedOn w:val="DefaultParagraphFont"/>
    <w:link w:val="Footer"/>
    <w:rsid w:val="00645256"/>
    <w:rPr>
      <w:rFonts w:ascii="Comic Sans MS" w:eastAsia="Times New Roman" w:hAnsi="Comic Sans MS" w:cs="Times New Roman"/>
      <w:szCs w:val="24"/>
    </w:rPr>
  </w:style>
  <w:style w:type="paragraph" w:customStyle="1" w:styleId="mtrachead3">
    <w:name w:val="mtrac head 3"/>
    <w:basedOn w:val="Heading3"/>
    <w:uiPriority w:val="99"/>
    <w:rsid w:val="00645256"/>
    <w:pPr>
      <w:keepLines w:val="0"/>
      <w:spacing w:before="0"/>
    </w:pPr>
    <w:rPr>
      <w:rFonts w:ascii="HelvLight" w:eastAsia="Times New Roman" w:hAnsi="HelvLight" w:cs="Times New Roman"/>
      <w:bCs w:val="0"/>
      <w:snapToGrid w:val="0"/>
      <w:color w:val="auto"/>
      <w:szCs w:val="20"/>
    </w:rPr>
  </w:style>
  <w:style w:type="paragraph" w:customStyle="1" w:styleId="RomanNumerials">
    <w:name w:val="RomanNumerials"/>
    <w:basedOn w:val="Normal"/>
    <w:rsid w:val="00645256"/>
    <w:pPr>
      <w:ind w:left="709"/>
    </w:pPr>
    <w:rPr>
      <w:rFonts w:ascii="Times New Roman" w:hAnsi="Times New Roman"/>
      <w:szCs w:val="20"/>
      <w:lang w:val="en-AU"/>
    </w:rPr>
  </w:style>
  <w:style w:type="character" w:styleId="Hyperlink">
    <w:name w:val="Hyperlink"/>
    <w:uiPriority w:val="99"/>
    <w:rsid w:val="00645256"/>
    <w:rPr>
      <w:rFonts w:cs="Times New Roman"/>
      <w:color w:val="0000FF"/>
      <w:u w:val="single"/>
    </w:rPr>
  </w:style>
  <w:style w:type="paragraph" w:customStyle="1" w:styleId="caj1">
    <w:name w:val="caj1"/>
    <w:basedOn w:val="Normal"/>
    <w:rsid w:val="00645256"/>
    <w:rPr>
      <w:rFonts w:ascii="Times New Roman" w:hAnsi="Times New Roman"/>
      <w:sz w:val="24"/>
      <w:lang w:eastAsia="en-GB"/>
    </w:rPr>
  </w:style>
  <w:style w:type="paragraph" w:customStyle="1" w:styleId="Default">
    <w:name w:val="Default"/>
    <w:rsid w:val="0064525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3Char">
    <w:name w:val="Heading 3 Char"/>
    <w:basedOn w:val="DefaultParagraphFont"/>
    <w:link w:val="Heading3"/>
    <w:uiPriority w:val="9"/>
    <w:semiHidden/>
    <w:rsid w:val="00645256"/>
    <w:rPr>
      <w:rFonts w:asciiTheme="majorHAnsi" w:eastAsiaTheme="majorEastAsia" w:hAnsiTheme="majorHAnsi" w:cstheme="majorBidi"/>
      <w:b/>
      <w:bCs/>
      <w:color w:val="4F81BD" w:themeColor="accent1"/>
      <w:szCs w:val="24"/>
    </w:rPr>
  </w:style>
  <w:style w:type="paragraph" w:styleId="ListParagraph">
    <w:name w:val="List Paragraph"/>
    <w:basedOn w:val="Normal"/>
    <w:uiPriority w:val="1"/>
    <w:qFormat/>
    <w:rsid w:val="00CD3DD6"/>
    <w:pPr>
      <w:ind w:left="720"/>
      <w:contextualSpacing/>
    </w:pPr>
  </w:style>
  <w:style w:type="character" w:styleId="FollowedHyperlink">
    <w:name w:val="FollowedHyperlink"/>
    <w:basedOn w:val="DefaultParagraphFont"/>
    <w:uiPriority w:val="99"/>
    <w:semiHidden/>
    <w:unhideWhenUsed/>
    <w:rsid w:val="00323816"/>
    <w:rPr>
      <w:color w:val="800080" w:themeColor="followedHyperlink"/>
      <w:u w:val="single"/>
    </w:rPr>
  </w:style>
  <w:style w:type="paragraph" w:styleId="BalloonText">
    <w:name w:val="Balloon Text"/>
    <w:basedOn w:val="Normal"/>
    <w:link w:val="BalloonTextChar"/>
    <w:uiPriority w:val="99"/>
    <w:semiHidden/>
    <w:unhideWhenUsed/>
    <w:rsid w:val="009A6602"/>
    <w:rPr>
      <w:rFonts w:ascii="Tahoma" w:hAnsi="Tahoma" w:cs="Tahoma"/>
      <w:sz w:val="16"/>
      <w:szCs w:val="16"/>
    </w:rPr>
  </w:style>
  <w:style w:type="character" w:customStyle="1" w:styleId="BalloonTextChar">
    <w:name w:val="Balloon Text Char"/>
    <w:basedOn w:val="DefaultParagraphFont"/>
    <w:link w:val="BalloonText"/>
    <w:uiPriority w:val="99"/>
    <w:semiHidden/>
    <w:rsid w:val="009A6602"/>
    <w:rPr>
      <w:rFonts w:ascii="Tahoma" w:eastAsia="Times New Roman" w:hAnsi="Tahoma" w:cs="Tahoma"/>
      <w:sz w:val="16"/>
      <w:szCs w:val="16"/>
    </w:rPr>
  </w:style>
  <w:style w:type="paragraph" w:customStyle="1" w:styleId="TableParagraph">
    <w:name w:val="Table Paragraph"/>
    <w:basedOn w:val="Normal"/>
    <w:uiPriority w:val="1"/>
    <w:qFormat/>
    <w:rsid w:val="009A6602"/>
    <w:pPr>
      <w:widowControl w:val="0"/>
    </w:pPr>
    <w:rPr>
      <w:rFonts w:asciiTheme="minorHAnsi" w:eastAsiaTheme="minorHAnsi" w:hAnsiTheme="minorHAnsi" w:cstheme="minorBidi"/>
      <w:szCs w:val="22"/>
      <w:lang w:val="en-US"/>
    </w:rPr>
  </w:style>
  <w:style w:type="paragraph" w:styleId="NormalWeb">
    <w:name w:val="Normal (Web)"/>
    <w:basedOn w:val="Normal"/>
    <w:uiPriority w:val="99"/>
    <w:semiHidden/>
    <w:unhideWhenUsed/>
    <w:rsid w:val="005C5EA7"/>
    <w:pPr>
      <w:spacing w:before="100" w:beforeAutospacing="1" w:after="100" w:afterAutospacing="1"/>
    </w:pPr>
    <w:rPr>
      <w:rFonts w:ascii="Times New Roman" w:hAnsi="Times New Roman"/>
      <w:sz w:val="24"/>
      <w:lang w:eastAsia="en-GB"/>
    </w:rPr>
  </w:style>
  <w:style w:type="character" w:customStyle="1" w:styleId="Heading1Char">
    <w:name w:val="Heading 1 Char"/>
    <w:basedOn w:val="DefaultParagraphFont"/>
    <w:link w:val="Heading1"/>
    <w:uiPriority w:val="9"/>
    <w:rsid w:val="00260B7E"/>
    <w:rPr>
      <w:rFonts w:asciiTheme="majorHAnsi" w:eastAsiaTheme="majorEastAsia" w:hAnsiTheme="majorHAnsi" w:cstheme="majorBidi"/>
      <w:b/>
      <w:bCs/>
      <w:color w:val="365F91" w:themeColor="accent1" w:themeShade="BF"/>
      <w:sz w:val="28"/>
      <w:szCs w:val="28"/>
    </w:rPr>
  </w:style>
  <w:style w:type="paragraph" w:customStyle="1" w:styleId="byline">
    <w:name w:val="byline"/>
    <w:basedOn w:val="Normal"/>
    <w:rsid w:val="00260B7E"/>
    <w:pPr>
      <w:spacing w:before="100" w:beforeAutospacing="1" w:after="100" w:afterAutospacing="1"/>
    </w:pPr>
    <w:rPr>
      <w:rFonts w:ascii="Times New Roman" w:hAnsi="Times New Roman"/>
      <w:sz w:val="24"/>
      <w:lang w:eastAsia="en-GB"/>
    </w:rPr>
  </w:style>
  <w:style w:type="character" w:customStyle="1" w:styleId="author">
    <w:name w:val="author"/>
    <w:basedOn w:val="DefaultParagraphFont"/>
    <w:rsid w:val="00260B7E"/>
  </w:style>
  <w:style w:type="character" w:customStyle="1" w:styleId="Date1">
    <w:name w:val="Date1"/>
    <w:basedOn w:val="DefaultParagraphFont"/>
    <w:rsid w:val="00260B7E"/>
  </w:style>
  <w:style w:type="paragraph" w:styleId="Header">
    <w:name w:val="header"/>
    <w:basedOn w:val="Normal"/>
    <w:link w:val="HeaderChar"/>
    <w:uiPriority w:val="99"/>
    <w:unhideWhenUsed/>
    <w:rsid w:val="00C76F3C"/>
    <w:pPr>
      <w:tabs>
        <w:tab w:val="center" w:pos="4513"/>
        <w:tab w:val="right" w:pos="9026"/>
      </w:tabs>
    </w:pPr>
  </w:style>
  <w:style w:type="character" w:customStyle="1" w:styleId="HeaderChar">
    <w:name w:val="Header Char"/>
    <w:basedOn w:val="DefaultParagraphFont"/>
    <w:link w:val="Header"/>
    <w:uiPriority w:val="99"/>
    <w:rsid w:val="00C76F3C"/>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F0"/>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0B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4525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256"/>
    <w:pPr>
      <w:jc w:val="center"/>
    </w:pPr>
    <w:rPr>
      <w:b/>
      <w:bCs/>
    </w:rPr>
  </w:style>
  <w:style w:type="character" w:customStyle="1" w:styleId="TitleChar">
    <w:name w:val="Title Char"/>
    <w:basedOn w:val="DefaultParagraphFont"/>
    <w:link w:val="Title"/>
    <w:rsid w:val="00645256"/>
    <w:rPr>
      <w:rFonts w:ascii="Comic Sans MS" w:eastAsia="Times New Roman" w:hAnsi="Comic Sans MS" w:cs="Times New Roman"/>
      <w:b/>
      <w:bCs/>
      <w:szCs w:val="24"/>
    </w:rPr>
  </w:style>
  <w:style w:type="paragraph" w:styleId="BodyText3">
    <w:name w:val="Body Text 3"/>
    <w:basedOn w:val="Normal"/>
    <w:link w:val="BodyText3Char"/>
    <w:rsid w:val="00645256"/>
  </w:style>
  <w:style w:type="character" w:customStyle="1" w:styleId="BodyText3Char">
    <w:name w:val="Body Text 3 Char"/>
    <w:basedOn w:val="DefaultParagraphFont"/>
    <w:link w:val="BodyText3"/>
    <w:rsid w:val="00645256"/>
    <w:rPr>
      <w:rFonts w:ascii="Comic Sans MS" w:eastAsia="Times New Roman" w:hAnsi="Comic Sans MS" w:cs="Times New Roman"/>
      <w:sz w:val="20"/>
      <w:szCs w:val="24"/>
    </w:rPr>
  </w:style>
  <w:style w:type="paragraph" w:styleId="Subtitle">
    <w:name w:val="Subtitle"/>
    <w:basedOn w:val="Normal"/>
    <w:link w:val="SubtitleChar"/>
    <w:qFormat/>
    <w:rsid w:val="00645256"/>
    <w:pPr>
      <w:jc w:val="center"/>
    </w:pPr>
    <w:rPr>
      <w:b/>
      <w:bCs/>
    </w:rPr>
  </w:style>
  <w:style w:type="character" w:customStyle="1" w:styleId="SubtitleChar">
    <w:name w:val="Subtitle Char"/>
    <w:basedOn w:val="DefaultParagraphFont"/>
    <w:link w:val="Subtitle"/>
    <w:rsid w:val="00645256"/>
    <w:rPr>
      <w:rFonts w:ascii="Comic Sans MS" w:eastAsia="Times New Roman" w:hAnsi="Comic Sans MS" w:cs="Times New Roman"/>
      <w:b/>
      <w:bCs/>
      <w:szCs w:val="24"/>
    </w:rPr>
  </w:style>
  <w:style w:type="paragraph" w:styleId="Footer">
    <w:name w:val="footer"/>
    <w:basedOn w:val="Normal"/>
    <w:link w:val="FooterChar"/>
    <w:rsid w:val="00645256"/>
    <w:pPr>
      <w:tabs>
        <w:tab w:val="center" w:pos="4153"/>
        <w:tab w:val="right" w:pos="8306"/>
      </w:tabs>
    </w:pPr>
  </w:style>
  <w:style w:type="character" w:customStyle="1" w:styleId="FooterChar">
    <w:name w:val="Footer Char"/>
    <w:basedOn w:val="DefaultParagraphFont"/>
    <w:link w:val="Footer"/>
    <w:rsid w:val="00645256"/>
    <w:rPr>
      <w:rFonts w:ascii="Comic Sans MS" w:eastAsia="Times New Roman" w:hAnsi="Comic Sans MS" w:cs="Times New Roman"/>
      <w:szCs w:val="24"/>
    </w:rPr>
  </w:style>
  <w:style w:type="paragraph" w:customStyle="1" w:styleId="mtrachead3">
    <w:name w:val="mtrac head 3"/>
    <w:basedOn w:val="Heading3"/>
    <w:uiPriority w:val="99"/>
    <w:rsid w:val="00645256"/>
    <w:pPr>
      <w:keepLines w:val="0"/>
      <w:spacing w:before="0"/>
    </w:pPr>
    <w:rPr>
      <w:rFonts w:ascii="HelvLight" w:eastAsia="Times New Roman" w:hAnsi="HelvLight" w:cs="Times New Roman"/>
      <w:bCs w:val="0"/>
      <w:snapToGrid w:val="0"/>
      <w:color w:val="auto"/>
      <w:szCs w:val="20"/>
    </w:rPr>
  </w:style>
  <w:style w:type="paragraph" w:customStyle="1" w:styleId="RomanNumerials">
    <w:name w:val="RomanNumerials"/>
    <w:basedOn w:val="Normal"/>
    <w:rsid w:val="00645256"/>
    <w:pPr>
      <w:ind w:left="709"/>
    </w:pPr>
    <w:rPr>
      <w:rFonts w:ascii="Times New Roman" w:hAnsi="Times New Roman"/>
      <w:szCs w:val="20"/>
      <w:lang w:val="en-AU"/>
    </w:rPr>
  </w:style>
  <w:style w:type="character" w:styleId="Hyperlink">
    <w:name w:val="Hyperlink"/>
    <w:uiPriority w:val="99"/>
    <w:rsid w:val="00645256"/>
    <w:rPr>
      <w:rFonts w:cs="Times New Roman"/>
      <w:color w:val="0000FF"/>
      <w:u w:val="single"/>
    </w:rPr>
  </w:style>
  <w:style w:type="paragraph" w:customStyle="1" w:styleId="caj1">
    <w:name w:val="caj1"/>
    <w:basedOn w:val="Normal"/>
    <w:rsid w:val="00645256"/>
    <w:rPr>
      <w:rFonts w:ascii="Times New Roman" w:hAnsi="Times New Roman"/>
      <w:sz w:val="24"/>
      <w:lang w:eastAsia="en-GB"/>
    </w:rPr>
  </w:style>
  <w:style w:type="paragraph" w:customStyle="1" w:styleId="Default">
    <w:name w:val="Default"/>
    <w:rsid w:val="0064525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3Char">
    <w:name w:val="Heading 3 Char"/>
    <w:basedOn w:val="DefaultParagraphFont"/>
    <w:link w:val="Heading3"/>
    <w:uiPriority w:val="9"/>
    <w:semiHidden/>
    <w:rsid w:val="00645256"/>
    <w:rPr>
      <w:rFonts w:asciiTheme="majorHAnsi" w:eastAsiaTheme="majorEastAsia" w:hAnsiTheme="majorHAnsi" w:cstheme="majorBidi"/>
      <w:b/>
      <w:bCs/>
      <w:color w:val="4F81BD" w:themeColor="accent1"/>
      <w:szCs w:val="24"/>
    </w:rPr>
  </w:style>
  <w:style w:type="paragraph" w:styleId="ListParagraph">
    <w:name w:val="List Paragraph"/>
    <w:basedOn w:val="Normal"/>
    <w:uiPriority w:val="1"/>
    <w:qFormat/>
    <w:rsid w:val="00CD3DD6"/>
    <w:pPr>
      <w:ind w:left="720"/>
      <w:contextualSpacing/>
    </w:pPr>
  </w:style>
  <w:style w:type="character" w:styleId="FollowedHyperlink">
    <w:name w:val="FollowedHyperlink"/>
    <w:basedOn w:val="DefaultParagraphFont"/>
    <w:uiPriority w:val="99"/>
    <w:semiHidden/>
    <w:unhideWhenUsed/>
    <w:rsid w:val="00323816"/>
    <w:rPr>
      <w:color w:val="800080" w:themeColor="followedHyperlink"/>
      <w:u w:val="single"/>
    </w:rPr>
  </w:style>
  <w:style w:type="paragraph" w:styleId="BalloonText">
    <w:name w:val="Balloon Text"/>
    <w:basedOn w:val="Normal"/>
    <w:link w:val="BalloonTextChar"/>
    <w:uiPriority w:val="99"/>
    <w:semiHidden/>
    <w:unhideWhenUsed/>
    <w:rsid w:val="009A6602"/>
    <w:rPr>
      <w:rFonts w:ascii="Tahoma" w:hAnsi="Tahoma" w:cs="Tahoma"/>
      <w:sz w:val="16"/>
      <w:szCs w:val="16"/>
    </w:rPr>
  </w:style>
  <w:style w:type="character" w:customStyle="1" w:styleId="BalloonTextChar">
    <w:name w:val="Balloon Text Char"/>
    <w:basedOn w:val="DefaultParagraphFont"/>
    <w:link w:val="BalloonText"/>
    <w:uiPriority w:val="99"/>
    <w:semiHidden/>
    <w:rsid w:val="009A6602"/>
    <w:rPr>
      <w:rFonts w:ascii="Tahoma" w:eastAsia="Times New Roman" w:hAnsi="Tahoma" w:cs="Tahoma"/>
      <w:sz w:val="16"/>
      <w:szCs w:val="16"/>
    </w:rPr>
  </w:style>
  <w:style w:type="paragraph" w:customStyle="1" w:styleId="TableParagraph">
    <w:name w:val="Table Paragraph"/>
    <w:basedOn w:val="Normal"/>
    <w:uiPriority w:val="1"/>
    <w:qFormat/>
    <w:rsid w:val="009A6602"/>
    <w:pPr>
      <w:widowControl w:val="0"/>
    </w:pPr>
    <w:rPr>
      <w:rFonts w:asciiTheme="minorHAnsi" w:eastAsiaTheme="minorHAnsi" w:hAnsiTheme="minorHAnsi" w:cstheme="minorBidi"/>
      <w:szCs w:val="22"/>
      <w:lang w:val="en-US"/>
    </w:rPr>
  </w:style>
  <w:style w:type="paragraph" w:styleId="NormalWeb">
    <w:name w:val="Normal (Web)"/>
    <w:basedOn w:val="Normal"/>
    <w:uiPriority w:val="99"/>
    <w:semiHidden/>
    <w:unhideWhenUsed/>
    <w:rsid w:val="005C5EA7"/>
    <w:pPr>
      <w:spacing w:before="100" w:beforeAutospacing="1" w:after="100" w:afterAutospacing="1"/>
    </w:pPr>
    <w:rPr>
      <w:rFonts w:ascii="Times New Roman" w:hAnsi="Times New Roman"/>
      <w:sz w:val="24"/>
      <w:lang w:eastAsia="en-GB"/>
    </w:rPr>
  </w:style>
  <w:style w:type="character" w:customStyle="1" w:styleId="Heading1Char">
    <w:name w:val="Heading 1 Char"/>
    <w:basedOn w:val="DefaultParagraphFont"/>
    <w:link w:val="Heading1"/>
    <w:uiPriority w:val="9"/>
    <w:rsid w:val="00260B7E"/>
    <w:rPr>
      <w:rFonts w:asciiTheme="majorHAnsi" w:eastAsiaTheme="majorEastAsia" w:hAnsiTheme="majorHAnsi" w:cstheme="majorBidi"/>
      <w:b/>
      <w:bCs/>
      <w:color w:val="365F91" w:themeColor="accent1" w:themeShade="BF"/>
      <w:sz w:val="28"/>
      <w:szCs w:val="28"/>
    </w:rPr>
  </w:style>
  <w:style w:type="paragraph" w:customStyle="1" w:styleId="byline">
    <w:name w:val="byline"/>
    <w:basedOn w:val="Normal"/>
    <w:rsid w:val="00260B7E"/>
    <w:pPr>
      <w:spacing w:before="100" w:beforeAutospacing="1" w:after="100" w:afterAutospacing="1"/>
    </w:pPr>
    <w:rPr>
      <w:rFonts w:ascii="Times New Roman" w:hAnsi="Times New Roman"/>
      <w:sz w:val="24"/>
      <w:lang w:eastAsia="en-GB"/>
    </w:rPr>
  </w:style>
  <w:style w:type="character" w:customStyle="1" w:styleId="author">
    <w:name w:val="author"/>
    <w:basedOn w:val="DefaultParagraphFont"/>
    <w:rsid w:val="00260B7E"/>
  </w:style>
  <w:style w:type="character" w:customStyle="1" w:styleId="Date1">
    <w:name w:val="Date1"/>
    <w:basedOn w:val="DefaultParagraphFont"/>
    <w:rsid w:val="00260B7E"/>
  </w:style>
  <w:style w:type="paragraph" w:styleId="Header">
    <w:name w:val="header"/>
    <w:basedOn w:val="Normal"/>
    <w:link w:val="HeaderChar"/>
    <w:uiPriority w:val="99"/>
    <w:unhideWhenUsed/>
    <w:rsid w:val="00C76F3C"/>
    <w:pPr>
      <w:tabs>
        <w:tab w:val="center" w:pos="4513"/>
        <w:tab w:val="right" w:pos="9026"/>
      </w:tabs>
    </w:pPr>
  </w:style>
  <w:style w:type="character" w:customStyle="1" w:styleId="HeaderChar">
    <w:name w:val="Header Char"/>
    <w:basedOn w:val="DefaultParagraphFont"/>
    <w:link w:val="Header"/>
    <w:uiPriority w:val="99"/>
    <w:rsid w:val="00C76F3C"/>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752">
      <w:bodyDiv w:val="1"/>
      <w:marLeft w:val="0"/>
      <w:marRight w:val="0"/>
      <w:marTop w:val="0"/>
      <w:marBottom w:val="0"/>
      <w:divBdr>
        <w:top w:val="none" w:sz="0" w:space="0" w:color="auto"/>
        <w:left w:val="none" w:sz="0" w:space="0" w:color="auto"/>
        <w:bottom w:val="none" w:sz="0" w:space="0" w:color="auto"/>
        <w:right w:val="none" w:sz="0" w:space="0" w:color="auto"/>
      </w:divBdr>
    </w:div>
    <w:div w:id="365106256">
      <w:bodyDiv w:val="1"/>
      <w:marLeft w:val="0"/>
      <w:marRight w:val="0"/>
      <w:marTop w:val="0"/>
      <w:marBottom w:val="0"/>
      <w:divBdr>
        <w:top w:val="none" w:sz="0" w:space="0" w:color="auto"/>
        <w:left w:val="none" w:sz="0" w:space="0" w:color="auto"/>
        <w:bottom w:val="none" w:sz="0" w:space="0" w:color="auto"/>
        <w:right w:val="none" w:sz="0" w:space="0" w:color="auto"/>
      </w:divBdr>
    </w:div>
    <w:div w:id="642739067">
      <w:bodyDiv w:val="1"/>
      <w:marLeft w:val="0"/>
      <w:marRight w:val="0"/>
      <w:marTop w:val="0"/>
      <w:marBottom w:val="0"/>
      <w:divBdr>
        <w:top w:val="none" w:sz="0" w:space="0" w:color="auto"/>
        <w:left w:val="none" w:sz="0" w:space="0" w:color="auto"/>
        <w:bottom w:val="none" w:sz="0" w:space="0" w:color="auto"/>
        <w:right w:val="none" w:sz="0" w:space="0" w:color="auto"/>
      </w:divBdr>
    </w:div>
    <w:div w:id="700324570">
      <w:bodyDiv w:val="1"/>
      <w:marLeft w:val="0"/>
      <w:marRight w:val="0"/>
      <w:marTop w:val="0"/>
      <w:marBottom w:val="0"/>
      <w:divBdr>
        <w:top w:val="none" w:sz="0" w:space="0" w:color="auto"/>
        <w:left w:val="none" w:sz="0" w:space="0" w:color="auto"/>
        <w:bottom w:val="none" w:sz="0" w:space="0" w:color="auto"/>
        <w:right w:val="none" w:sz="0" w:space="0" w:color="auto"/>
      </w:divBdr>
    </w:div>
    <w:div w:id="1080641899">
      <w:bodyDiv w:val="1"/>
      <w:marLeft w:val="0"/>
      <w:marRight w:val="0"/>
      <w:marTop w:val="0"/>
      <w:marBottom w:val="0"/>
      <w:divBdr>
        <w:top w:val="none" w:sz="0" w:space="0" w:color="auto"/>
        <w:left w:val="none" w:sz="0" w:space="0" w:color="auto"/>
        <w:bottom w:val="none" w:sz="0" w:space="0" w:color="auto"/>
        <w:right w:val="none" w:sz="0" w:space="0" w:color="auto"/>
      </w:divBdr>
    </w:div>
    <w:div w:id="1412776299">
      <w:bodyDiv w:val="1"/>
      <w:marLeft w:val="0"/>
      <w:marRight w:val="0"/>
      <w:marTop w:val="0"/>
      <w:marBottom w:val="0"/>
      <w:divBdr>
        <w:top w:val="none" w:sz="0" w:space="0" w:color="auto"/>
        <w:left w:val="none" w:sz="0" w:space="0" w:color="auto"/>
        <w:bottom w:val="none" w:sz="0" w:space="0" w:color="auto"/>
        <w:right w:val="none" w:sz="0" w:space="0" w:color="auto"/>
      </w:divBdr>
      <w:divsChild>
        <w:div w:id="1216232691">
          <w:marLeft w:val="0"/>
          <w:marRight w:val="0"/>
          <w:marTop w:val="0"/>
          <w:marBottom w:val="0"/>
          <w:divBdr>
            <w:top w:val="none" w:sz="0" w:space="0" w:color="auto"/>
            <w:left w:val="none" w:sz="0" w:space="0" w:color="auto"/>
            <w:bottom w:val="none" w:sz="0" w:space="0" w:color="auto"/>
            <w:right w:val="none" w:sz="0" w:space="0" w:color="auto"/>
          </w:divBdr>
        </w:div>
        <w:div w:id="1510178180">
          <w:marLeft w:val="0"/>
          <w:marRight w:val="417"/>
          <w:marTop w:val="0"/>
          <w:marBottom w:val="0"/>
          <w:divBdr>
            <w:top w:val="none" w:sz="0" w:space="0" w:color="auto"/>
            <w:left w:val="none" w:sz="0" w:space="0" w:color="auto"/>
            <w:bottom w:val="none" w:sz="0" w:space="0" w:color="auto"/>
            <w:right w:val="none" w:sz="0" w:space="0" w:color="auto"/>
          </w:divBdr>
        </w:div>
      </w:divsChild>
    </w:div>
    <w:div w:id="1540316849">
      <w:bodyDiv w:val="1"/>
      <w:marLeft w:val="0"/>
      <w:marRight w:val="0"/>
      <w:marTop w:val="0"/>
      <w:marBottom w:val="0"/>
      <w:divBdr>
        <w:top w:val="none" w:sz="0" w:space="0" w:color="auto"/>
        <w:left w:val="none" w:sz="0" w:space="0" w:color="auto"/>
        <w:bottom w:val="none" w:sz="0" w:space="0" w:color="auto"/>
        <w:right w:val="none" w:sz="0" w:space="0" w:color="auto"/>
      </w:divBdr>
    </w:div>
    <w:div w:id="1542547066">
      <w:bodyDiv w:val="1"/>
      <w:marLeft w:val="0"/>
      <w:marRight w:val="0"/>
      <w:marTop w:val="0"/>
      <w:marBottom w:val="0"/>
      <w:divBdr>
        <w:top w:val="none" w:sz="0" w:space="0" w:color="auto"/>
        <w:left w:val="none" w:sz="0" w:space="0" w:color="auto"/>
        <w:bottom w:val="none" w:sz="0" w:space="0" w:color="auto"/>
        <w:right w:val="none" w:sz="0" w:space="0" w:color="auto"/>
      </w:divBdr>
    </w:div>
    <w:div w:id="1625966344">
      <w:bodyDiv w:val="1"/>
      <w:marLeft w:val="0"/>
      <w:marRight w:val="0"/>
      <w:marTop w:val="0"/>
      <w:marBottom w:val="0"/>
      <w:divBdr>
        <w:top w:val="none" w:sz="0" w:space="0" w:color="auto"/>
        <w:left w:val="none" w:sz="0" w:space="0" w:color="auto"/>
        <w:bottom w:val="none" w:sz="0" w:space="0" w:color="auto"/>
        <w:right w:val="none" w:sz="0" w:space="0" w:color="auto"/>
      </w:divBdr>
    </w:div>
    <w:div w:id="214257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icines.org.uk/emc/" TargetMode="External"/><Relationship Id="rId18" Type="http://schemas.openxmlformats.org/officeDocument/2006/relationships/hyperlink" Target="http://www.gp.brightonandhoveccg.nhs.uk/prescribing/joint-formulary-supporting-information" TargetMode="External"/><Relationship Id="rId26" Type="http://schemas.openxmlformats.org/officeDocument/2006/relationships/hyperlink" Target="https://www.gp.brightonandhoveccg.nhs.uk/shared-care-prescribing-guidelines" TargetMode="External"/><Relationship Id="rId3" Type="http://schemas.microsoft.com/office/2007/relationships/stylesWithEffects" Target="stylesWithEffects.xml"/><Relationship Id="rId21" Type="http://schemas.openxmlformats.org/officeDocument/2006/relationships/hyperlink" Target="mailto:Paul.Farrant@bsuh.nhs.uk" TargetMode="External"/><Relationship Id="rId7" Type="http://schemas.openxmlformats.org/officeDocument/2006/relationships/endnotes" Target="endnotes.xml"/><Relationship Id="rId12" Type="http://schemas.openxmlformats.org/officeDocument/2006/relationships/hyperlink" Target="http://www.rheumatology.org.uk/includes/documents/cm_docs/2013/i/immunisation_with_zostavax_for_people_with_inflammatory_rheumatic_disease.pdf" TargetMode="External"/><Relationship Id="rId17" Type="http://schemas.openxmlformats.org/officeDocument/2006/relationships/footer" Target="footer1.xml"/><Relationship Id="rId25" Type="http://schemas.openxmlformats.org/officeDocument/2006/relationships/hyperlink" Target="mailto:Fiona.rees@bsuh.nhs.uk" TargetMode="External"/><Relationship Id="rId2" Type="http://schemas.openxmlformats.org/officeDocument/2006/relationships/styles" Target="styles.xml"/><Relationship Id="rId16" Type="http://schemas.openxmlformats.org/officeDocument/2006/relationships/hyperlink" Target="https://www.guidelines.co.uk/musculoskeletal-and-joints-/bsr-and-bhpr-guideline-on-prescribing-drugs-in-pregnancy-and-breastfeeding/252703.article" TargetMode="External"/><Relationship Id="rId20" Type="http://schemas.openxmlformats.org/officeDocument/2006/relationships/hyperlink" Target="mailto:Sarah.cooper@bsuh.nhs.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uploads/system/uploads/attachment_data/file/566853/Green_Book_Chapter7.pdf" TargetMode="External"/><Relationship Id="rId24" Type="http://schemas.openxmlformats.org/officeDocument/2006/relationships/hyperlink" Target="mailto:Archna.parmar@bsuh.nhs.uk" TargetMode="External"/><Relationship Id="rId5" Type="http://schemas.openxmlformats.org/officeDocument/2006/relationships/webSettings" Target="webSettings.xml"/><Relationship Id="rId15" Type="http://schemas.openxmlformats.org/officeDocument/2006/relationships/hyperlink" Target="https://www.guidelines.co.uk/british-society-for-rheumatology/2124.bio" TargetMode="External"/><Relationship Id="rId23" Type="http://schemas.openxmlformats.org/officeDocument/2006/relationships/hyperlink" Target="mailto:bsuh.dermatology@nhs.net" TargetMode="External"/><Relationship Id="rId28" Type="http://schemas.openxmlformats.org/officeDocument/2006/relationships/fontTable" Target="fontTable.xml"/><Relationship Id="rId10" Type="http://schemas.openxmlformats.org/officeDocument/2006/relationships/hyperlink" Target="http://www.rheumatology.org.uk/includes/documents/cm_docs/2017/f/full_guideline_dmards.pdf" TargetMode="External"/><Relationship Id="rId19" Type="http://schemas.openxmlformats.org/officeDocument/2006/relationships/hyperlink" Target="mailto:Anja.st.clair-jones@bsuh.nhs.uk" TargetMode="External"/><Relationship Id="rId4" Type="http://schemas.openxmlformats.org/officeDocument/2006/relationships/settings" Target="settings.xml"/><Relationship Id="rId9" Type="http://schemas.openxmlformats.org/officeDocument/2006/relationships/hyperlink" Target="http://www.medicines.org.uk/emc/" TargetMode="External"/><Relationship Id="rId14" Type="http://schemas.openxmlformats.org/officeDocument/2006/relationships/hyperlink" Target="http://www.medicinesresources.nhs.uk/upload/documents/Evidence/Drug%20monitoring%20document%20Feb%202014.pdf" TargetMode="External"/><Relationship Id="rId22" Type="http://schemas.openxmlformats.org/officeDocument/2006/relationships/hyperlink" Target="mailto:Gastroenterology.pharmacists@bsuh.nhs.uk" TargetMode="External"/><Relationship Id="rId27" Type="http://schemas.openxmlformats.org/officeDocument/2006/relationships/hyperlink" Target="https://www.gp.brightonandhoveccg.nhs.uk/shared-care-prescribing-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BB862921</Template>
  <TotalTime>3</TotalTime>
  <Pages>6</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19264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Butler</dc:creator>
  <cp:lastModifiedBy>tomesj</cp:lastModifiedBy>
  <cp:revision>3</cp:revision>
  <dcterms:created xsi:type="dcterms:W3CDTF">2018-12-05T16:24:00Z</dcterms:created>
  <dcterms:modified xsi:type="dcterms:W3CDTF">2018-12-05T17:00:00Z</dcterms:modified>
</cp:coreProperties>
</file>