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8"/>
        </w:rPr>
      </w:pPr>
    </w:p>
    <w:p>
      <w:pPr>
        <w:pStyle w:val="BodyText"/>
        <w:ind w:left="97"/>
        <w:rPr>
          <w:rFonts w:ascii="Times New Roman"/>
          <w:sz w:val="20"/>
        </w:rPr>
      </w:pPr>
      <w:r>
        <w:rPr>
          <w:rFonts w:ascii="Times New Roman"/>
          <w:position w:val="0"/>
          <w:sz w:val="20"/>
        </w:rPr>
        <w:pict>
          <v:shape style="width:552.75pt;height:72.6pt;mso-position-horizontal-relative:char;mso-position-vertical-relative:line" type="#_x0000_t202" filled="false" stroked="true" strokeweight=".75pt" strokecolor="#000000">
            <w10:anchorlock/>
            <v:textbox inset="0,0,0,0">
              <w:txbxContent>
                <w:p>
                  <w:pPr>
                    <w:spacing w:before="70"/>
                    <w:ind w:left="1" w:right="0" w:firstLine="0"/>
                    <w:jc w:val="center"/>
                    <w:rPr>
                      <w:sz w:val="40"/>
                    </w:rPr>
                  </w:pPr>
                  <w:r>
                    <w:rPr>
                      <w:sz w:val="40"/>
                    </w:rPr>
                    <w:t>Effective Shared Care Agreement (ESCA)</w:t>
                  </w:r>
                </w:p>
                <w:p>
                  <w:pPr>
                    <w:spacing w:line="267" w:lineRule="exact" w:before="268"/>
                    <w:ind w:left="4" w:right="0" w:firstLine="0"/>
                    <w:jc w:val="center"/>
                    <w:rPr>
                      <w:b/>
                      <w:sz w:val="22"/>
                    </w:rPr>
                  </w:pPr>
                  <w:r>
                    <w:rPr>
                      <w:sz w:val="22"/>
                    </w:rPr>
                    <w:t>DRUG NAME : </w:t>
                  </w:r>
                  <w:r>
                    <w:rPr>
                      <w:b/>
                      <w:sz w:val="22"/>
                    </w:rPr>
                    <w:t>MYCOPHENOLATE MOFETIL</w:t>
                  </w:r>
                </w:p>
                <w:p>
                  <w:pPr>
                    <w:spacing w:line="267" w:lineRule="exact" w:before="0"/>
                    <w:ind w:left="0" w:right="0" w:firstLine="0"/>
                    <w:jc w:val="center"/>
                    <w:rPr>
                      <w:b/>
                      <w:sz w:val="22"/>
                    </w:rPr>
                  </w:pPr>
                  <w:r>
                    <w:rPr>
                      <w:sz w:val="22"/>
                    </w:rPr>
                    <w:t>Indication/s Covered: </w:t>
                  </w:r>
                  <w:r>
                    <w:rPr>
                      <w:b/>
                      <w:sz w:val="22"/>
                    </w:rPr>
                    <w:t>Immunosuppression in autoimmune diseases as defined below</w:t>
                  </w:r>
                </w:p>
              </w:txbxContent>
            </v:textbox>
            <v:stroke dashstyle="solid"/>
          </v:shape>
        </w:pict>
      </w:r>
      <w:r>
        <w:rPr>
          <w:rFonts w:ascii="Times New Roman"/>
          <w:position w:val="0"/>
          <w:sz w:val="20"/>
        </w:rPr>
      </w:r>
    </w:p>
    <w:p>
      <w:pPr>
        <w:pStyle w:val="BodyText"/>
        <w:spacing w:before="1"/>
        <w:rPr>
          <w:rFonts w:ascii="Times New Roman"/>
          <w:sz w:val="14"/>
        </w:rPr>
      </w:pPr>
    </w:p>
    <w:p>
      <w:pPr>
        <w:pStyle w:val="BodyText"/>
        <w:spacing w:before="56"/>
        <w:ind w:left="1284"/>
      </w:pPr>
      <w:r>
        <w:rPr/>
        <w:t>East Sussex Health Economy Formulary Traffic Light system classification: Specialist Drug / Orange</w:t>
      </w:r>
    </w:p>
    <w:p>
      <w:pPr>
        <w:pStyle w:val="BodyText"/>
        <w:spacing w:before="4"/>
        <w:rPr>
          <w:sz w:val="18"/>
        </w:rPr>
      </w:pPr>
      <w:r>
        <w:rPr/>
        <w:pict>
          <v:shape style="position:absolute;margin-left:47.900002pt;margin-top:13.572949pt;width:498pt;height:157.5pt;mso-position-horizontal-relative:page;mso-position-vertical-relative:paragraph;z-index:1048;mso-wrap-distance-left:0;mso-wrap-distance-right:0" type="#_x0000_t202" filled="false" stroked="true" strokeweight=".75pt" strokecolor="#000000">
            <v:textbox inset="0,0,0,0">
              <w:txbxContent>
                <w:p>
                  <w:pPr>
                    <w:pStyle w:val="BodyText"/>
                    <w:spacing w:before="70"/>
                    <w:ind w:left="143"/>
                  </w:pPr>
                  <w:r>
                    <w:rPr/>
                    <w:t>NOTES to the primary care prescriber</w:t>
                  </w:r>
                </w:p>
                <w:p>
                  <w:pPr>
                    <w:pStyle w:val="BodyText"/>
                    <w:spacing w:before="10"/>
                    <w:rPr>
                      <w:sz w:val="21"/>
                    </w:rPr>
                  </w:pPr>
                </w:p>
                <w:p>
                  <w:pPr>
                    <w:pStyle w:val="BodyText"/>
                    <w:ind w:left="143" w:right="137"/>
                    <w:jc w:val="both"/>
                  </w:pPr>
                  <w:r>
                    <w:rPr/>
                    <w:t>Specialist drugs - These are drugs where the need for specialist input has been identified. A specialist is not necessarily a consultant, rather a practitioner with specialist skills e.g. GP with Specialist Interest, Community Psychiatric nurse, Tissue Viability nurse.</w:t>
                  </w:r>
                </w:p>
                <w:p>
                  <w:pPr>
                    <w:pStyle w:val="BodyText"/>
                    <w:spacing w:before="1"/>
                  </w:pPr>
                </w:p>
                <w:p>
                  <w:pPr>
                    <w:pStyle w:val="BodyText"/>
                    <w:spacing w:before="1"/>
                    <w:ind w:left="143"/>
                    <w:jc w:val="both"/>
                  </w:pPr>
                  <w:r>
                    <w:rPr/>
                    <w:t>Drugs will have “orange” status when:</w:t>
                  </w:r>
                </w:p>
                <w:p>
                  <w:pPr>
                    <w:pStyle w:val="BodyText"/>
                  </w:pPr>
                </w:p>
                <w:p>
                  <w:pPr>
                    <w:pStyle w:val="BodyText"/>
                    <w:numPr>
                      <w:ilvl w:val="0"/>
                      <w:numId w:val="1"/>
                    </w:numPr>
                    <w:tabs>
                      <w:tab w:pos="261" w:val="left" w:leader="none"/>
                    </w:tabs>
                    <w:spacing w:line="240" w:lineRule="auto" w:before="0" w:after="0"/>
                    <w:ind w:left="260" w:right="0" w:hanging="117"/>
                    <w:jc w:val="both"/>
                  </w:pPr>
                  <w:r>
                    <w:rPr/>
                    <w:t>A specialist starts</w:t>
                  </w:r>
                  <w:r>
                    <w:rPr>
                      <w:spacing w:val="-2"/>
                    </w:rPr>
                    <w:t> </w:t>
                  </w:r>
                  <w:r>
                    <w:rPr/>
                    <w:t>treatment</w:t>
                  </w:r>
                </w:p>
                <w:p>
                  <w:pPr>
                    <w:pStyle w:val="BodyText"/>
                    <w:numPr>
                      <w:ilvl w:val="0"/>
                      <w:numId w:val="1"/>
                    </w:numPr>
                    <w:tabs>
                      <w:tab w:pos="261" w:val="left" w:leader="none"/>
                    </w:tabs>
                    <w:spacing w:line="240" w:lineRule="auto" w:before="0" w:after="0"/>
                    <w:ind w:left="260" w:right="0" w:hanging="117"/>
                    <w:jc w:val="both"/>
                  </w:pPr>
                  <w:r>
                    <w:rPr/>
                    <w:t>A specialist provides advice for a specific</w:t>
                  </w:r>
                  <w:r>
                    <w:rPr>
                      <w:spacing w:val="-6"/>
                    </w:rPr>
                    <w:t> </w:t>
                  </w:r>
                  <w:r>
                    <w:rPr/>
                    <w:t>patient</w:t>
                  </w:r>
                </w:p>
              </w:txbxContent>
            </v:textbox>
            <v:stroke dashstyle="solid"/>
            <w10:wrap type="topAndBottom"/>
          </v:shape>
        </w:pict>
      </w:r>
    </w:p>
    <w:p>
      <w:pPr>
        <w:pStyle w:val="BodyText"/>
        <w:spacing w:before="11" w:after="1"/>
        <w:rPr>
          <w:sz w:val="23"/>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4"/>
        <w:gridCol w:w="5231"/>
      </w:tblGrid>
      <w:tr>
        <w:trPr>
          <w:trHeight w:val="349" w:hRule="atLeast"/>
        </w:trPr>
        <w:tc>
          <w:tcPr>
            <w:tcW w:w="5454" w:type="dxa"/>
            <w:tcBorders>
              <w:bottom w:val="single" w:sz="6" w:space="0" w:color="000000"/>
              <w:right w:val="single" w:sz="6" w:space="0" w:color="000000"/>
            </w:tcBorders>
          </w:tcPr>
          <w:p>
            <w:pPr>
              <w:pStyle w:val="TableParagraph"/>
              <w:spacing w:before="37"/>
              <w:ind w:left="107"/>
              <w:rPr>
                <w:sz w:val="22"/>
              </w:rPr>
            </w:pPr>
            <w:r>
              <w:rPr>
                <w:sz w:val="22"/>
              </w:rPr>
              <w:t>Version:</w:t>
            </w:r>
          </w:p>
        </w:tc>
        <w:tc>
          <w:tcPr>
            <w:tcW w:w="5231" w:type="dxa"/>
            <w:tcBorders>
              <w:left w:val="single" w:sz="6" w:space="0" w:color="000000"/>
              <w:bottom w:val="single" w:sz="6" w:space="0" w:color="000000"/>
            </w:tcBorders>
          </w:tcPr>
          <w:p>
            <w:pPr>
              <w:pStyle w:val="TableParagraph"/>
              <w:spacing w:before="37"/>
              <w:ind w:left="105"/>
              <w:rPr>
                <w:sz w:val="22"/>
              </w:rPr>
            </w:pPr>
            <w:r>
              <w:rPr>
                <w:sz w:val="22"/>
              </w:rPr>
              <w:t>V2.0</w:t>
            </w:r>
          </w:p>
        </w:tc>
      </w:tr>
      <w:tr>
        <w:trPr>
          <w:trHeight w:val="347"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Ratified by:</w:t>
            </w:r>
          </w:p>
        </w:tc>
        <w:tc>
          <w:tcPr>
            <w:tcW w:w="5231" w:type="dxa"/>
            <w:tcBorders>
              <w:top w:val="single" w:sz="6" w:space="0" w:color="000000"/>
              <w:left w:val="single" w:sz="6" w:space="0" w:color="000000"/>
              <w:bottom w:val="single" w:sz="6" w:space="0" w:color="000000"/>
            </w:tcBorders>
          </w:tcPr>
          <w:p>
            <w:pPr>
              <w:pStyle w:val="TableParagraph"/>
              <w:spacing w:before="37"/>
              <w:ind w:left="105"/>
              <w:rPr>
                <w:sz w:val="22"/>
              </w:rPr>
            </w:pPr>
            <w:r>
              <w:rPr>
                <w:sz w:val="22"/>
              </w:rPr>
              <w:t>Area Prescribing Committee</w:t>
            </w:r>
          </w:p>
        </w:tc>
      </w:tr>
      <w:tr>
        <w:trPr>
          <w:trHeight w:val="349"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Date ratified:</w:t>
            </w:r>
          </w:p>
        </w:tc>
        <w:tc>
          <w:tcPr>
            <w:tcW w:w="5231" w:type="dxa"/>
            <w:tcBorders>
              <w:top w:val="single" w:sz="6" w:space="0" w:color="000000"/>
              <w:left w:val="single" w:sz="6" w:space="0" w:color="000000"/>
              <w:bottom w:val="single" w:sz="6" w:space="0" w:color="000000"/>
            </w:tcBorders>
          </w:tcPr>
          <w:p>
            <w:pPr>
              <w:pStyle w:val="TableParagraph"/>
              <w:spacing w:before="37"/>
              <w:ind w:left="105"/>
              <w:rPr>
                <w:sz w:val="22"/>
              </w:rPr>
            </w:pPr>
            <w:r>
              <w:rPr>
                <w:sz w:val="22"/>
              </w:rPr>
              <w:t>7/6/17</w:t>
            </w:r>
          </w:p>
        </w:tc>
      </w:tr>
      <w:tr>
        <w:trPr>
          <w:trHeight w:val="656"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Name of author and title:</w:t>
            </w:r>
          </w:p>
        </w:tc>
        <w:tc>
          <w:tcPr>
            <w:tcW w:w="5231" w:type="dxa"/>
            <w:tcBorders>
              <w:top w:val="single" w:sz="6" w:space="0" w:color="000000"/>
              <w:left w:val="single" w:sz="6" w:space="0" w:color="000000"/>
              <w:bottom w:val="single" w:sz="6" w:space="0" w:color="000000"/>
            </w:tcBorders>
          </w:tcPr>
          <w:p>
            <w:pPr>
              <w:pStyle w:val="TableParagraph"/>
              <w:spacing w:line="308" w:lineRule="exact"/>
              <w:ind w:left="105" w:right="796"/>
              <w:rPr>
                <w:sz w:val="22"/>
              </w:rPr>
            </w:pPr>
            <w:r>
              <w:rPr>
                <w:sz w:val="22"/>
              </w:rPr>
              <w:t>Janki Patel -Lead Pharmacist Specialist Medicine Stephanie Butler-Principal Pharmacist MSK</w:t>
            </w:r>
          </w:p>
        </w:tc>
      </w:tr>
      <w:tr>
        <w:trPr>
          <w:trHeight w:val="347" w:hRule="atLeast"/>
        </w:trPr>
        <w:tc>
          <w:tcPr>
            <w:tcW w:w="5454" w:type="dxa"/>
            <w:tcBorders>
              <w:top w:val="single" w:sz="6" w:space="0" w:color="000000"/>
              <w:bottom w:val="single" w:sz="6" w:space="0" w:color="000000"/>
              <w:right w:val="single" w:sz="6" w:space="0" w:color="000000"/>
            </w:tcBorders>
          </w:tcPr>
          <w:p>
            <w:pPr>
              <w:pStyle w:val="TableParagraph"/>
              <w:spacing w:before="38"/>
              <w:ind w:left="107"/>
              <w:rPr>
                <w:sz w:val="22"/>
              </w:rPr>
            </w:pPr>
            <w:r>
              <w:rPr>
                <w:sz w:val="22"/>
              </w:rPr>
              <w:t>Date Written:</w:t>
            </w:r>
          </w:p>
        </w:tc>
        <w:tc>
          <w:tcPr>
            <w:tcW w:w="5231" w:type="dxa"/>
            <w:tcBorders>
              <w:top w:val="single" w:sz="6" w:space="0" w:color="000000"/>
              <w:left w:val="single" w:sz="6" w:space="0" w:color="000000"/>
              <w:bottom w:val="single" w:sz="6" w:space="0" w:color="000000"/>
            </w:tcBorders>
          </w:tcPr>
          <w:p>
            <w:pPr>
              <w:pStyle w:val="TableParagraph"/>
              <w:spacing w:before="38"/>
              <w:ind w:left="105"/>
              <w:rPr>
                <w:sz w:val="22"/>
              </w:rPr>
            </w:pPr>
            <w:r>
              <w:rPr>
                <w:sz w:val="22"/>
              </w:rPr>
              <w:t>09/03/2017</w:t>
            </w:r>
          </w:p>
        </w:tc>
      </w:tr>
      <w:tr>
        <w:trPr>
          <w:trHeight w:val="349"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Name of responsible committee/individual:</w:t>
            </w:r>
          </w:p>
        </w:tc>
        <w:tc>
          <w:tcPr>
            <w:tcW w:w="5231" w:type="dxa"/>
            <w:tcBorders>
              <w:top w:val="single" w:sz="6" w:space="0" w:color="000000"/>
              <w:left w:val="single" w:sz="6" w:space="0" w:color="000000"/>
              <w:bottom w:val="single" w:sz="6" w:space="0" w:color="000000"/>
            </w:tcBorders>
          </w:tcPr>
          <w:p>
            <w:pPr>
              <w:pStyle w:val="TableParagraph"/>
              <w:spacing w:before="37"/>
              <w:ind w:left="105"/>
              <w:rPr>
                <w:sz w:val="22"/>
              </w:rPr>
            </w:pPr>
            <w:r>
              <w:rPr>
                <w:sz w:val="22"/>
              </w:rPr>
              <w:t>Area Prescribing Committee</w:t>
            </w:r>
          </w:p>
        </w:tc>
      </w:tr>
      <w:tr>
        <w:trPr>
          <w:trHeight w:val="347"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Date issued:</w:t>
            </w:r>
          </w:p>
        </w:tc>
        <w:tc>
          <w:tcPr>
            <w:tcW w:w="5231" w:type="dxa"/>
            <w:tcBorders>
              <w:top w:val="single" w:sz="6" w:space="0" w:color="000000"/>
              <w:left w:val="single" w:sz="6" w:space="0" w:color="000000"/>
              <w:bottom w:val="single" w:sz="6" w:space="0" w:color="000000"/>
            </w:tcBorders>
          </w:tcPr>
          <w:p>
            <w:pPr>
              <w:pStyle w:val="TableParagraph"/>
              <w:spacing w:before="37"/>
              <w:ind w:left="105"/>
              <w:rPr>
                <w:sz w:val="22"/>
              </w:rPr>
            </w:pPr>
            <w:r>
              <w:rPr>
                <w:sz w:val="22"/>
              </w:rPr>
              <w:t>June 2017</w:t>
            </w:r>
          </w:p>
        </w:tc>
      </w:tr>
      <w:tr>
        <w:trPr>
          <w:trHeight w:val="349"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Issue number:</w:t>
            </w:r>
          </w:p>
        </w:tc>
        <w:tc>
          <w:tcPr>
            <w:tcW w:w="5231" w:type="dxa"/>
            <w:tcBorders>
              <w:top w:val="single" w:sz="6" w:space="0" w:color="000000"/>
              <w:left w:val="single" w:sz="6" w:space="0" w:color="000000"/>
              <w:bottom w:val="single" w:sz="6" w:space="0" w:color="000000"/>
            </w:tcBorders>
          </w:tcPr>
          <w:p>
            <w:pPr>
              <w:pStyle w:val="TableParagraph"/>
              <w:spacing w:before="37"/>
              <w:ind w:left="105"/>
              <w:rPr>
                <w:sz w:val="22"/>
              </w:rPr>
            </w:pPr>
            <w:r>
              <w:rPr>
                <w:sz w:val="22"/>
              </w:rPr>
              <w:t>2017123</w:t>
            </w:r>
          </w:p>
        </w:tc>
      </w:tr>
      <w:tr>
        <w:trPr>
          <w:trHeight w:val="347"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Review date:</w:t>
            </w:r>
          </w:p>
        </w:tc>
        <w:tc>
          <w:tcPr>
            <w:tcW w:w="5231" w:type="dxa"/>
            <w:tcBorders>
              <w:top w:val="single" w:sz="6" w:space="0" w:color="000000"/>
              <w:left w:val="single" w:sz="6" w:space="0" w:color="000000"/>
              <w:bottom w:val="single" w:sz="6" w:space="0" w:color="000000"/>
            </w:tcBorders>
          </w:tcPr>
          <w:p>
            <w:pPr>
              <w:pStyle w:val="TableParagraph"/>
              <w:spacing w:before="37"/>
              <w:ind w:left="105"/>
              <w:rPr>
                <w:sz w:val="22"/>
              </w:rPr>
            </w:pPr>
            <w:r>
              <w:rPr>
                <w:sz w:val="22"/>
              </w:rPr>
              <w:t>3 Years (June 2020)</w:t>
            </w:r>
          </w:p>
        </w:tc>
      </w:tr>
      <w:tr>
        <w:trPr>
          <w:trHeight w:val="887" w:hRule="atLeast"/>
        </w:trPr>
        <w:tc>
          <w:tcPr>
            <w:tcW w:w="5454" w:type="dxa"/>
            <w:tcBorders>
              <w:top w:val="single" w:sz="6" w:space="0" w:color="000000"/>
              <w:bottom w:val="single" w:sz="6" w:space="0" w:color="000000"/>
              <w:right w:val="single" w:sz="6" w:space="0" w:color="000000"/>
            </w:tcBorders>
          </w:tcPr>
          <w:p>
            <w:pPr>
              <w:pStyle w:val="TableParagraph"/>
              <w:spacing w:before="37"/>
              <w:ind w:left="107"/>
              <w:rPr>
                <w:sz w:val="22"/>
              </w:rPr>
            </w:pPr>
            <w:r>
              <w:rPr>
                <w:sz w:val="22"/>
              </w:rPr>
              <w:t>Target audience:</w:t>
            </w:r>
          </w:p>
        </w:tc>
        <w:tc>
          <w:tcPr>
            <w:tcW w:w="5231" w:type="dxa"/>
            <w:tcBorders>
              <w:top w:val="single" w:sz="6" w:space="0" w:color="000000"/>
              <w:left w:val="single" w:sz="6" w:space="0" w:color="000000"/>
              <w:bottom w:val="single" w:sz="6" w:space="0" w:color="000000"/>
            </w:tcBorders>
          </w:tcPr>
          <w:p>
            <w:pPr>
              <w:pStyle w:val="TableParagraph"/>
              <w:spacing w:before="37"/>
              <w:ind w:left="105" w:right="126"/>
              <w:rPr>
                <w:sz w:val="22"/>
              </w:rPr>
            </w:pPr>
            <w:r>
              <w:rPr>
                <w:sz w:val="22"/>
              </w:rPr>
              <w:t>Rheumatology, neurology and dermatology consultants and specialist nurses and GPs responsible for ongoing patient care</w:t>
            </w:r>
          </w:p>
        </w:tc>
      </w:tr>
    </w:tbl>
    <w:p>
      <w:pPr>
        <w:spacing w:after="0"/>
        <w:rPr>
          <w:sz w:val="22"/>
        </w:rPr>
        <w:sectPr>
          <w:headerReference w:type="default" r:id="rId5"/>
          <w:footerReference w:type="default" r:id="rId6"/>
          <w:type w:val="continuous"/>
          <w:pgSz w:w="11910" w:h="16840"/>
          <w:pgMar w:header="541" w:footer="1020" w:top="1600" w:bottom="1200" w:left="300" w:right="100"/>
          <w:pgNumType w:start="1"/>
        </w:sectPr>
      </w:pPr>
    </w:p>
    <w:p>
      <w:pPr>
        <w:pStyle w:val="BodyText"/>
        <w:spacing w:before="5"/>
        <w:rPr>
          <w:sz w:val="21"/>
        </w:rPr>
      </w:pPr>
    </w:p>
    <w:p>
      <w:pPr>
        <w:pStyle w:val="Heading1"/>
        <w:spacing w:before="45"/>
        <w:ind w:right="1310"/>
      </w:pPr>
      <w:r>
        <w:rPr/>
        <w:t>Version Control Table</w:t>
      </w:r>
    </w:p>
    <w:p>
      <w:pPr>
        <w:pStyle w:val="BodyText"/>
        <w:rPr>
          <w:b/>
          <w:sz w:val="20"/>
        </w:rPr>
      </w:pPr>
    </w:p>
    <w:p>
      <w:pPr>
        <w:pStyle w:val="BodyText"/>
        <w:spacing w:before="1" w:after="1"/>
        <w:rPr>
          <w:b/>
          <w:sz w:val="24"/>
        </w:rPr>
      </w:pPr>
    </w:p>
    <w:tbl>
      <w:tblPr>
        <w:tblW w:w="0" w:type="auto"/>
        <w:jc w:val="left"/>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848"/>
        <w:gridCol w:w="1848"/>
        <w:gridCol w:w="1848"/>
        <w:gridCol w:w="1851"/>
      </w:tblGrid>
      <w:tr>
        <w:trPr>
          <w:trHeight w:val="537" w:hRule="atLeast"/>
        </w:trPr>
        <w:tc>
          <w:tcPr>
            <w:tcW w:w="1848" w:type="dxa"/>
            <w:tcBorders>
              <w:left w:val="single" w:sz="6" w:space="0" w:color="000000"/>
            </w:tcBorders>
          </w:tcPr>
          <w:p>
            <w:pPr>
              <w:pStyle w:val="TableParagraph"/>
              <w:spacing w:line="265" w:lineRule="exact"/>
              <w:ind w:left="184"/>
              <w:rPr>
                <w:b/>
                <w:sz w:val="22"/>
              </w:rPr>
            </w:pPr>
            <w:r>
              <w:rPr>
                <w:b/>
                <w:sz w:val="22"/>
              </w:rPr>
              <w:t>Version number</w:t>
            </w:r>
          </w:p>
          <w:p>
            <w:pPr>
              <w:pStyle w:val="TableParagraph"/>
              <w:spacing w:line="252" w:lineRule="exact"/>
              <w:ind w:left="108"/>
              <w:rPr>
                <w:b/>
                <w:sz w:val="22"/>
              </w:rPr>
            </w:pPr>
            <w:r>
              <w:rPr>
                <w:b/>
                <w:sz w:val="22"/>
              </w:rPr>
              <w:t>and issue number</w:t>
            </w:r>
          </w:p>
        </w:tc>
        <w:tc>
          <w:tcPr>
            <w:tcW w:w="1848" w:type="dxa"/>
          </w:tcPr>
          <w:p>
            <w:pPr>
              <w:pStyle w:val="TableParagraph"/>
              <w:spacing w:line="265" w:lineRule="exact"/>
              <w:ind w:left="154" w:right="146"/>
              <w:jc w:val="center"/>
              <w:rPr>
                <w:b/>
                <w:sz w:val="22"/>
              </w:rPr>
            </w:pPr>
            <w:r>
              <w:rPr>
                <w:b/>
                <w:sz w:val="22"/>
              </w:rPr>
              <w:t>Date</w:t>
            </w:r>
          </w:p>
        </w:tc>
        <w:tc>
          <w:tcPr>
            <w:tcW w:w="1848" w:type="dxa"/>
          </w:tcPr>
          <w:p>
            <w:pPr>
              <w:pStyle w:val="TableParagraph"/>
              <w:spacing w:line="265" w:lineRule="exact"/>
              <w:ind w:left="156" w:right="146"/>
              <w:jc w:val="center"/>
              <w:rPr>
                <w:b/>
                <w:sz w:val="22"/>
              </w:rPr>
            </w:pPr>
            <w:r>
              <w:rPr>
                <w:b/>
                <w:sz w:val="22"/>
              </w:rPr>
              <w:t>Author</w:t>
            </w:r>
          </w:p>
        </w:tc>
        <w:tc>
          <w:tcPr>
            <w:tcW w:w="1848" w:type="dxa"/>
          </w:tcPr>
          <w:p>
            <w:pPr>
              <w:pStyle w:val="TableParagraph"/>
              <w:spacing w:line="265" w:lineRule="exact"/>
              <w:ind w:left="157" w:right="146"/>
              <w:jc w:val="center"/>
              <w:rPr>
                <w:b/>
                <w:sz w:val="22"/>
              </w:rPr>
            </w:pPr>
            <w:r>
              <w:rPr>
                <w:b/>
                <w:sz w:val="22"/>
              </w:rPr>
              <w:t>Reason for</w:t>
            </w:r>
          </w:p>
          <w:p>
            <w:pPr>
              <w:pStyle w:val="TableParagraph"/>
              <w:spacing w:line="252" w:lineRule="exact"/>
              <w:ind w:left="158" w:right="146"/>
              <w:jc w:val="center"/>
              <w:rPr>
                <w:b/>
                <w:sz w:val="22"/>
              </w:rPr>
            </w:pPr>
            <w:r>
              <w:rPr>
                <w:b/>
                <w:sz w:val="22"/>
              </w:rPr>
              <w:t>Change</w:t>
            </w:r>
          </w:p>
        </w:tc>
        <w:tc>
          <w:tcPr>
            <w:tcW w:w="1851" w:type="dxa"/>
          </w:tcPr>
          <w:p>
            <w:pPr>
              <w:pStyle w:val="TableParagraph"/>
              <w:spacing w:line="265" w:lineRule="exact"/>
              <w:ind w:left="281"/>
              <w:rPr>
                <w:b/>
                <w:sz w:val="22"/>
              </w:rPr>
            </w:pPr>
            <w:r>
              <w:rPr>
                <w:b/>
                <w:sz w:val="22"/>
              </w:rPr>
              <w:t>Description of</w:t>
            </w:r>
          </w:p>
          <w:p>
            <w:pPr>
              <w:pStyle w:val="TableParagraph"/>
              <w:spacing w:line="252" w:lineRule="exact"/>
              <w:ind w:left="253"/>
              <w:rPr>
                <w:b/>
                <w:sz w:val="22"/>
              </w:rPr>
            </w:pPr>
            <w:r>
              <w:rPr>
                <w:b/>
                <w:sz w:val="22"/>
              </w:rPr>
              <w:t>Changes Made</w:t>
            </w:r>
          </w:p>
        </w:tc>
      </w:tr>
      <w:tr>
        <w:trPr>
          <w:trHeight w:val="268" w:hRule="atLeast"/>
        </w:trPr>
        <w:tc>
          <w:tcPr>
            <w:tcW w:w="1848" w:type="dxa"/>
            <w:tcBorders>
              <w:left w:val="single" w:sz="6" w:space="0" w:color="000000"/>
            </w:tcBorders>
          </w:tcPr>
          <w:p>
            <w:pPr>
              <w:pStyle w:val="TableParagraph"/>
              <w:spacing w:line="248" w:lineRule="exact"/>
              <w:ind w:left="700" w:right="691"/>
              <w:jc w:val="center"/>
              <w:rPr>
                <w:sz w:val="22"/>
              </w:rPr>
            </w:pPr>
            <w:r>
              <w:rPr>
                <w:sz w:val="22"/>
              </w:rPr>
              <w:t>V1.0</w:t>
            </w:r>
          </w:p>
        </w:tc>
        <w:tc>
          <w:tcPr>
            <w:tcW w:w="1848" w:type="dxa"/>
          </w:tcPr>
          <w:p>
            <w:pPr>
              <w:pStyle w:val="TableParagraph"/>
              <w:spacing w:line="248" w:lineRule="exact"/>
              <w:ind w:left="154" w:right="146"/>
              <w:jc w:val="center"/>
              <w:rPr>
                <w:sz w:val="22"/>
              </w:rPr>
            </w:pPr>
            <w:r>
              <w:rPr>
                <w:sz w:val="22"/>
              </w:rPr>
              <w:t>10/12/2015</w:t>
            </w:r>
          </w:p>
        </w:tc>
        <w:tc>
          <w:tcPr>
            <w:tcW w:w="1848" w:type="dxa"/>
          </w:tcPr>
          <w:p>
            <w:pPr>
              <w:pStyle w:val="TableParagraph"/>
              <w:spacing w:line="248" w:lineRule="exact"/>
              <w:ind w:left="157" w:right="146"/>
              <w:jc w:val="center"/>
              <w:rPr>
                <w:sz w:val="22"/>
              </w:rPr>
            </w:pPr>
            <w:r>
              <w:rPr>
                <w:sz w:val="22"/>
              </w:rPr>
              <w:t>Janki Patel</w:t>
            </w:r>
          </w:p>
        </w:tc>
        <w:tc>
          <w:tcPr>
            <w:tcW w:w="1848" w:type="dxa"/>
          </w:tcPr>
          <w:p>
            <w:pPr>
              <w:pStyle w:val="TableParagraph"/>
              <w:spacing w:line="248" w:lineRule="exact"/>
              <w:ind w:left="159" w:right="145"/>
              <w:jc w:val="center"/>
              <w:rPr>
                <w:sz w:val="22"/>
              </w:rPr>
            </w:pPr>
            <w:r>
              <w:rPr>
                <w:sz w:val="22"/>
              </w:rPr>
              <w:t>New document</w:t>
            </w:r>
          </w:p>
        </w:tc>
        <w:tc>
          <w:tcPr>
            <w:tcW w:w="1851" w:type="dxa"/>
          </w:tcPr>
          <w:p>
            <w:pPr>
              <w:pStyle w:val="TableParagraph"/>
              <w:rPr>
                <w:rFonts w:ascii="Times New Roman"/>
                <w:sz w:val="18"/>
              </w:rPr>
            </w:pPr>
          </w:p>
        </w:tc>
      </w:tr>
      <w:tr>
        <w:trPr>
          <w:trHeight w:val="285" w:hRule="atLeast"/>
        </w:trPr>
        <w:tc>
          <w:tcPr>
            <w:tcW w:w="1848" w:type="dxa"/>
            <w:tcBorders>
              <w:left w:val="single" w:sz="6" w:space="0" w:color="000000"/>
              <w:bottom w:val="nil"/>
            </w:tcBorders>
          </w:tcPr>
          <w:p>
            <w:pPr>
              <w:pStyle w:val="TableParagraph"/>
              <w:spacing w:line="265" w:lineRule="exact"/>
              <w:ind w:left="700" w:right="691"/>
              <w:jc w:val="center"/>
              <w:rPr>
                <w:sz w:val="22"/>
              </w:rPr>
            </w:pPr>
            <w:r>
              <w:rPr>
                <w:sz w:val="22"/>
              </w:rPr>
              <w:t>V2.0</w:t>
            </w:r>
          </w:p>
        </w:tc>
        <w:tc>
          <w:tcPr>
            <w:tcW w:w="1848" w:type="dxa"/>
            <w:tcBorders>
              <w:bottom w:val="nil"/>
            </w:tcBorders>
          </w:tcPr>
          <w:p>
            <w:pPr>
              <w:pStyle w:val="TableParagraph"/>
              <w:spacing w:line="265" w:lineRule="exact"/>
              <w:ind w:left="156" w:right="146"/>
              <w:jc w:val="center"/>
              <w:rPr>
                <w:sz w:val="22"/>
              </w:rPr>
            </w:pPr>
            <w:r>
              <w:rPr>
                <w:sz w:val="22"/>
              </w:rPr>
              <w:t>7/6/2017</w:t>
            </w:r>
          </w:p>
        </w:tc>
        <w:tc>
          <w:tcPr>
            <w:tcW w:w="1848" w:type="dxa"/>
            <w:tcBorders>
              <w:bottom w:val="nil"/>
            </w:tcBorders>
          </w:tcPr>
          <w:p>
            <w:pPr>
              <w:pStyle w:val="TableParagraph"/>
              <w:spacing w:line="265" w:lineRule="exact"/>
              <w:ind w:left="159" w:right="146"/>
              <w:jc w:val="center"/>
              <w:rPr>
                <w:sz w:val="22"/>
              </w:rPr>
            </w:pPr>
            <w:r>
              <w:rPr>
                <w:sz w:val="22"/>
              </w:rPr>
              <w:t>Stephanie Butler</w:t>
            </w:r>
          </w:p>
        </w:tc>
        <w:tc>
          <w:tcPr>
            <w:tcW w:w="1848" w:type="dxa"/>
            <w:tcBorders>
              <w:bottom w:val="nil"/>
            </w:tcBorders>
          </w:tcPr>
          <w:p>
            <w:pPr>
              <w:pStyle w:val="TableParagraph"/>
              <w:spacing w:line="265" w:lineRule="exact"/>
              <w:ind w:left="157" w:right="146"/>
              <w:jc w:val="center"/>
              <w:rPr>
                <w:sz w:val="22"/>
              </w:rPr>
            </w:pPr>
            <w:r>
              <w:rPr>
                <w:sz w:val="22"/>
              </w:rPr>
              <w:t>Update</w:t>
            </w:r>
          </w:p>
        </w:tc>
        <w:tc>
          <w:tcPr>
            <w:tcW w:w="1851" w:type="dxa"/>
            <w:tcBorders>
              <w:bottom w:val="nil"/>
            </w:tcBorders>
          </w:tcPr>
          <w:p>
            <w:pPr>
              <w:pStyle w:val="TableParagraph"/>
              <w:spacing w:line="265" w:lineRule="exact"/>
              <w:ind w:left="167" w:right="159"/>
              <w:jc w:val="center"/>
              <w:rPr>
                <w:sz w:val="22"/>
              </w:rPr>
            </w:pPr>
            <w:r>
              <w:rPr>
                <w:sz w:val="22"/>
              </w:rPr>
              <w:t>Update and</w:t>
            </w:r>
          </w:p>
        </w:tc>
      </w:tr>
      <w:tr>
        <w:trPr>
          <w:trHeight w:val="268" w:hRule="atLeast"/>
        </w:trPr>
        <w:tc>
          <w:tcPr>
            <w:tcW w:w="1848" w:type="dxa"/>
            <w:tcBorders>
              <w:top w:val="nil"/>
              <w:left w:val="single" w:sz="6" w:space="0" w:color="000000"/>
              <w:bottom w:val="nil"/>
            </w:tcBorders>
          </w:tcPr>
          <w:p>
            <w:pPr>
              <w:pStyle w:val="TableParagraph"/>
              <w:rPr>
                <w:rFonts w:ascii="Times New Roman"/>
                <w:sz w:val="18"/>
              </w:rPr>
            </w:pPr>
          </w:p>
        </w:tc>
        <w:tc>
          <w:tcPr>
            <w:tcW w:w="1848" w:type="dxa"/>
            <w:tcBorders>
              <w:top w:val="nil"/>
              <w:bottom w:val="nil"/>
            </w:tcBorders>
          </w:tcPr>
          <w:p>
            <w:pPr>
              <w:pStyle w:val="TableParagraph"/>
              <w:rPr>
                <w:rFonts w:ascii="Times New Roman"/>
                <w:sz w:val="18"/>
              </w:rPr>
            </w:pPr>
          </w:p>
        </w:tc>
        <w:tc>
          <w:tcPr>
            <w:tcW w:w="1848" w:type="dxa"/>
            <w:tcBorders>
              <w:top w:val="nil"/>
              <w:bottom w:val="nil"/>
            </w:tcBorders>
          </w:tcPr>
          <w:p>
            <w:pPr>
              <w:pStyle w:val="TableParagraph"/>
              <w:spacing w:line="249" w:lineRule="exact"/>
              <w:ind w:left="157" w:right="146"/>
              <w:jc w:val="center"/>
              <w:rPr>
                <w:sz w:val="22"/>
              </w:rPr>
            </w:pPr>
            <w:r>
              <w:rPr>
                <w:sz w:val="22"/>
              </w:rPr>
              <w:t>Janki Patel</w:t>
            </w:r>
          </w:p>
        </w:tc>
        <w:tc>
          <w:tcPr>
            <w:tcW w:w="1848" w:type="dxa"/>
            <w:tcBorders>
              <w:top w:val="nil"/>
              <w:bottom w:val="nil"/>
            </w:tcBorders>
          </w:tcPr>
          <w:p>
            <w:pPr>
              <w:pStyle w:val="TableParagraph"/>
              <w:rPr>
                <w:rFonts w:ascii="Times New Roman"/>
                <w:sz w:val="18"/>
              </w:rPr>
            </w:pPr>
          </w:p>
        </w:tc>
        <w:tc>
          <w:tcPr>
            <w:tcW w:w="1851" w:type="dxa"/>
            <w:tcBorders>
              <w:top w:val="nil"/>
              <w:bottom w:val="nil"/>
            </w:tcBorders>
          </w:tcPr>
          <w:p>
            <w:pPr>
              <w:pStyle w:val="TableParagraph"/>
              <w:spacing w:line="249" w:lineRule="exact"/>
              <w:ind w:left="168" w:right="159"/>
              <w:jc w:val="center"/>
              <w:rPr>
                <w:sz w:val="22"/>
              </w:rPr>
            </w:pPr>
            <w:r>
              <w:rPr>
                <w:sz w:val="22"/>
              </w:rPr>
              <w:t>include new BSR</w:t>
            </w:r>
          </w:p>
        </w:tc>
      </w:tr>
      <w:tr>
        <w:trPr>
          <w:trHeight w:val="268" w:hRule="atLeast"/>
        </w:trPr>
        <w:tc>
          <w:tcPr>
            <w:tcW w:w="1848" w:type="dxa"/>
            <w:tcBorders>
              <w:top w:val="nil"/>
              <w:left w:val="single" w:sz="6" w:space="0" w:color="000000"/>
              <w:bottom w:val="nil"/>
            </w:tcBorders>
          </w:tcPr>
          <w:p>
            <w:pPr>
              <w:pStyle w:val="TableParagraph"/>
              <w:rPr>
                <w:rFonts w:ascii="Times New Roman"/>
                <w:sz w:val="18"/>
              </w:rPr>
            </w:pPr>
          </w:p>
        </w:tc>
        <w:tc>
          <w:tcPr>
            <w:tcW w:w="1848" w:type="dxa"/>
            <w:tcBorders>
              <w:top w:val="nil"/>
              <w:bottom w:val="nil"/>
            </w:tcBorders>
          </w:tcPr>
          <w:p>
            <w:pPr>
              <w:pStyle w:val="TableParagraph"/>
              <w:rPr>
                <w:rFonts w:ascii="Times New Roman"/>
                <w:sz w:val="18"/>
              </w:rPr>
            </w:pPr>
          </w:p>
        </w:tc>
        <w:tc>
          <w:tcPr>
            <w:tcW w:w="1848" w:type="dxa"/>
            <w:tcBorders>
              <w:top w:val="nil"/>
              <w:bottom w:val="nil"/>
            </w:tcBorders>
          </w:tcPr>
          <w:p>
            <w:pPr>
              <w:pStyle w:val="TableParagraph"/>
              <w:rPr>
                <w:rFonts w:ascii="Times New Roman"/>
                <w:sz w:val="18"/>
              </w:rPr>
            </w:pPr>
          </w:p>
        </w:tc>
        <w:tc>
          <w:tcPr>
            <w:tcW w:w="1848" w:type="dxa"/>
            <w:tcBorders>
              <w:top w:val="nil"/>
              <w:bottom w:val="nil"/>
            </w:tcBorders>
          </w:tcPr>
          <w:p>
            <w:pPr>
              <w:pStyle w:val="TableParagraph"/>
              <w:rPr>
                <w:rFonts w:ascii="Times New Roman"/>
                <w:sz w:val="18"/>
              </w:rPr>
            </w:pPr>
          </w:p>
        </w:tc>
        <w:tc>
          <w:tcPr>
            <w:tcW w:w="1851" w:type="dxa"/>
            <w:tcBorders>
              <w:top w:val="nil"/>
              <w:bottom w:val="nil"/>
            </w:tcBorders>
          </w:tcPr>
          <w:p>
            <w:pPr>
              <w:pStyle w:val="TableParagraph"/>
              <w:spacing w:line="249" w:lineRule="exact"/>
              <w:ind w:left="164" w:right="159"/>
              <w:jc w:val="center"/>
              <w:rPr>
                <w:sz w:val="22"/>
              </w:rPr>
            </w:pPr>
            <w:r>
              <w:rPr>
                <w:sz w:val="22"/>
              </w:rPr>
              <w:t>DMARD</w:t>
            </w:r>
          </w:p>
        </w:tc>
      </w:tr>
      <w:tr>
        <w:trPr>
          <w:trHeight w:val="249" w:hRule="atLeast"/>
        </w:trPr>
        <w:tc>
          <w:tcPr>
            <w:tcW w:w="1848" w:type="dxa"/>
            <w:tcBorders>
              <w:top w:val="nil"/>
              <w:left w:val="single" w:sz="6" w:space="0" w:color="000000"/>
            </w:tcBorders>
          </w:tcPr>
          <w:p>
            <w:pPr>
              <w:pStyle w:val="TableParagraph"/>
              <w:rPr>
                <w:rFonts w:ascii="Times New Roman"/>
                <w:sz w:val="18"/>
              </w:rPr>
            </w:pPr>
          </w:p>
        </w:tc>
        <w:tc>
          <w:tcPr>
            <w:tcW w:w="1848" w:type="dxa"/>
            <w:tcBorders>
              <w:top w:val="nil"/>
            </w:tcBorders>
          </w:tcPr>
          <w:p>
            <w:pPr>
              <w:pStyle w:val="TableParagraph"/>
              <w:rPr>
                <w:rFonts w:ascii="Times New Roman"/>
                <w:sz w:val="18"/>
              </w:rPr>
            </w:pPr>
          </w:p>
        </w:tc>
        <w:tc>
          <w:tcPr>
            <w:tcW w:w="1848" w:type="dxa"/>
            <w:tcBorders>
              <w:top w:val="nil"/>
            </w:tcBorders>
          </w:tcPr>
          <w:p>
            <w:pPr>
              <w:pStyle w:val="TableParagraph"/>
              <w:rPr>
                <w:rFonts w:ascii="Times New Roman"/>
                <w:sz w:val="18"/>
              </w:rPr>
            </w:pPr>
          </w:p>
        </w:tc>
        <w:tc>
          <w:tcPr>
            <w:tcW w:w="1848" w:type="dxa"/>
            <w:tcBorders>
              <w:top w:val="nil"/>
            </w:tcBorders>
          </w:tcPr>
          <w:p>
            <w:pPr>
              <w:pStyle w:val="TableParagraph"/>
              <w:rPr>
                <w:rFonts w:ascii="Times New Roman"/>
                <w:sz w:val="18"/>
              </w:rPr>
            </w:pPr>
          </w:p>
        </w:tc>
        <w:tc>
          <w:tcPr>
            <w:tcW w:w="1851" w:type="dxa"/>
            <w:tcBorders>
              <w:top w:val="nil"/>
            </w:tcBorders>
          </w:tcPr>
          <w:p>
            <w:pPr>
              <w:pStyle w:val="TableParagraph"/>
              <w:spacing w:line="229" w:lineRule="exact"/>
              <w:ind w:left="168" w:right="157"/>
              <w:jc w:val="center"/>
              <w:rPr>
                <w:sz w:val="22"/>
              </w:rPr>
            </w:pPr>
            <w:r>
              <w:rPr>
                <w:sz w:val="22"/>
              </w:rPr>
              <w:t>guidelines 2017</w:t>
            </w:r>
          </w:p>
        </w:tc>
      </w:tr>
      <w:tr>
        <w:trPr>
          <w:trHeight w:val="253" w:hRule="atLeast"/>
        </w:trPr>
        <w:tc>
          <w:tcPr>
            <w:tcW w:w="1848" w:type="dxa"/>
            <w:tcBorders>
              <w:left w:val="single" w:sz="6" w:space="0" w:color="000000"/>
            </w:tcBorders>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51" w:type="dxa"/>
          </w:tcPr>
          <w:p>
            <w:pPr>
              <w:pStyle w:val="TableParagraph"/>
              <w:rPr>
                <w:rFonts w:ascii="Times New Roman"/>
                <w:sz w:val="18"/>
              </w:rPr>
            </w:pPr>
          </w:p>
        </w:tc>
      </w:tr>
      <w:tr>
        <w:trPr>
          <w:trHeight w:val="254" w:hRule="atLeast"/>
        </w:trPr>
        <w:tc>
          <w:tcPr>
            <w:tcW w:w="1848" w:type="dxa"/>
            <w:tcBorders>
              <w:left w:val="single" w:sz="6" w:space="0" w:color="000000"/>
            </w:tcBorders>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51" w:type="dxa"/>
          </w:tcPr>
          <w:p>
            <w:pPr>
              <w:pStyle w:val="TableParagraph"/>
              <w:rPr>
                <w:rFonts w:ascii="Times New Roman"/>
                <w:sz w:val="18"/>
              </w:rPr>
            </w:pPr>
          </w:p>
        </w:tc>
      </w:tr>
      <w:tr>
        <w:trPr>
          <w:trHeight w:val="251" w:hRule="atLeast"/>
        </w:trPr>
        <w:tc>
          <w:tcPr>
            <w:tcW w:w="1848" w:type="dxa"/>
            <w:tcBorders>
              <w:left w:val="single" w:sz="6" w:space="0" w:color="000000"/>
            </w:tcBorders>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51" w:type="dxa"/>
          </w:tcPr>
          <w:p>
            <w:pPr>
              <w:pStyle w:val="TableParagraph"/>
              <w:rPr>
                <w:rFonts w:ascii="Times New Roman"/>
                <w:sz w:val="18"/>
              </w:rPr>
            </w:pPr>
          </w:p>
        </w:tc>
      </w:tr>
      <w:tr>
        <w:trPr>
          <w:trHeight w:val="254" w:hRule="atLeast"/>
        </w:trPr>
        <w:tc>
          <w:tcPr>
            <w:tcW w:w="1848" w:type="dxa"/>
            <w:tcBorders>
              <w:left w:val="single" w:sz="6" w:space="0" w:color="000000"/>
            </w:tcBorders>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48" w:type="dxa"/>
          </w:tcPr>
          <w:p>
            <w:pPr>
              <w:pStyle w:val="TableParagraph"/>
              <w:rPr>
                <w:rFonts w:ascii="Times New Roman"/>
                <w:sz w:val="18"/>
              </w:rPr>
            </w:pPr>
          </w:p>
        </w:tc>
        <w:tc>
          <w:tcPr>
            <w:tcW w:w="1851" w:type="dxa"/>
          </w:tcPr>
          <w:p>
            <w:pPr>
              <w:pStyle w:val="TableParagraph"/>
              <w:rPr>
                <w:rFonts w:ascii="Times New Roman"/>
                <w:sz w:val="18"/>
              </w:rPr>
            </w:pPr>
          </w:p>
        </w:tc>
      </w:tr>
      <w:tr>
        <w:trPr>
          <w:trHeight w:val="230" w:hRule="atLeast"/>
        </w:trPr>
        <w:tc>
          <w:tcPr>
            <w:tcW w:w="1848" w:type="dxa"/>
            <w:tcBorders>
              <w:left w:val="single" w:sz="6" w:space="0" w:color="000000"/>
            </w:tcBorders>
          </w:tcPr>
          <w:p>
            <w:pPr>
              <w:pStyle w:val="TableParagraph"/>
              <w:rPr>
                <w:rFonts w:ascii="Times New Roman"/>
                <w:sz w:val="16"/>
              </w:rPr>
            </w:pPr>
          </w:p>
        </w:tc>
        <w:tc>
          <w:tcPr>
            <w:tcW w:w="1848" w:type="dxa"/>
          </w:tcPr>
          <w:p>
            <w:pPr>
              <w:pStyle w:val="TableParagraph"/>
              <w:rPr>
                <w:rFonts w:ascii="Times New Roman"/>
                <w:sz w:val="16"/>
              </w:rPr>
            </w:pPr>
          </w:p>
        </w:tc>
        <w:tc>
          <w:tcPr>
            <w:tcW w:w="1848" w:type="dxa"/>
          </w:tcPr>
          <w:p>
            <w:pPr>
              <w:pStyle w:val="TableParagraph"/>
              <w:rPr>
                <w:rFonts w:ascii="Times New Roman"/>
                <w:sz w:val="16"/>
              </w:rPr>
            </w:pPr>
          </w:p>
        </w:tc>
        <w:tc>
          <w:tcPr>
            <w:tcW w:w="1848" w:type="dxa"/>
          </w:tcPr>
          <w:p>
            <w:pPr>
              <w:pStyle w:val="TableParagraph"/>
              <w:rPr>
                <w:rFonts w:ascii="Times New Roman"/>
                <w:sz w:val="16"/>
              </w:rPr>
            </w:pPr>
          </w:p>
        </w:tc>
        <w:tc>
          <w:tcPr>
            <w:tcW w:w="1851" w:type="dxa"/>
          </w:tcPr>
          <w:p>
            <w:pPr>
              <w:pStyle w:val="TableParagraph"/>
              <w:rPr>
                <w:rFonts w:ascii="Times New Roman"/>
                <w:sz w:val="16"/>
              </w:rPr>
            </w:pPr>
          </w:p>
        </w:tc>
      </w:tr>
    </w:tbl>
    <w:p>
      <w:pPr>
        <w:pStyle w:val="BodyText"/>
        <w:rPr>
          <w:b/>
          <w:sz w:val="20"/>
        </w:rPr>
      </w:pPr>
    </w:p>
    <w:p>
      <w:pPr>
        <w:pStyle w:val="BodyText"/>
        <w:rPr>
          <w:b/>
          <w:sz w:val="20"/>
        </w:rPr>
      </w:pPr>
    </w:p>
    <w:p>
      <w:pPr>
        <w:pStyle w:val="BodyText"/>
        <w:spacing w:before="10"/>
        <w:rPr>
          <w:b/>
          <w:sz w:val="19"/>
        </w:rPr>
      </w:pPr>
    </w:p>
    <w:p>
      <w:pPr>
        <w:spacing w:before="44"/>
        <w:ind w:left="1113" w:right="1309" w:firstLine="0"/>
        <w:jc w:val="center"/>
        <w:rPr>
          <w:b/>
          <w:sz w:val="28"/>
        </w:rPr>
      </w:pPr>
      <w:r>
        <w:rPr>
          <w:b/>
          <w:sz w:val="28"/>
        </w:rPr>
        <w:t>Consultation Table</w:t>
      </w:r>
    </w:p>
    <w:p>
      <w:pPr>
        <w:pStyle w:val="BodyText"/>
        <w:spacing w:before="8"/>
        <w:rPr>
          <w:b/>
          <w:sz w:val="27"/>
        </w:rPr>
      </w:pPr>
    </w:p>
    <w:p>
      <w:pPr>
        <w:pStyle w:val="Heading3"/>
        <w:ind w:left="1113" w:right="1311"/>
        <w:jc w:val="center"/>
      </w:pPr>
      <w:r>
        <w:rPr/>
        <w:t>This document has been developed in consultation with the groups and/or individuals in this table:</w:t>
      </w:r>
    </w:p>
    <w:p>
      <w:pPr>
        <w:pStyle w:val="BodyText"/>
        <w:spacing w:before="3"/>
        <w:rPr>
          <w:b/>
        </w:rPr>
      </w:pPr>
    </w:p>
    <w:tbl>
      <w:tblPr>
        <w:tblW w:w="0" w:type="auto"/>
        <w:jc w:val="left"/>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4"/>
        <w:gridCol w:w="3063"/>
        <w:gridCol w:w="3068"/>
      </w:tblGrid>
      <w:tr>
        <w:trPr>
          <w:trHeight w:val="268" w:hRule="atLeast"/>
        </w:trPr>
        <w:tc>
          <w:tcPr>
            <w:tcW w:w="3114" w:type="dxa"/>
            <w:tcBorders>
              <w:left w:val="single" w:sz="6" w:space="0" w:color="000000"/>
            </w:tcBorders>
          </w:tcPr>
          <w:p>
            <w:pPr>
              <w:pStyle w:val="TableParagraph"/>
              <w:spacing w:line="248" w:lineRule="exact"/>
              <w:ind w:left="268"/>
              <w:rPr>
                <w:b/>
                <w:sz w:val="22"/>
              </w:rPr>
            </w:pPr>
            <w:r>
              <w:rPr>
                <w:b/>
                <w:sz w:val="22"/>
              </w:rPr>
              <w:t>Name of Individual or group</w:t>
            </w:r>
          </w:p>
        </w:tc>
        <w:tc>
          <w:tcPr>
            <w:tcW w:w="3063" w:type="dxa"/>
          </w:tcPr>
          <w:p>
            <w:pPr>
              <w:pStyle w:val="TableParagraph"/>
              <w:spacing w:line="248" w:lineRule="exact"/>
              <w:ind w:left="1309" w:right="1298"/>
              <w:jc w:val="center"/>
              <w:rPr>
                <w:b/>
                <w:sz w:val="22"/>
              </w:rPr>
            </w:pPr>
            <w:r>
              <w:rPr>
                <w:b/>
                <w:sz w:val="22"/>
              </w:rPr>
              <w:t>Title</w:t>
            </w:r>
          </w:p>
        </w:tc>
        <w:tc>
          <w:tcPr>
            <w:tcW w:w="3068" w:type="dxa"/>
          </w:tcPr>
          <w:p>
            <w:pPr>
              <w:pStyle w:val="TableParagraph"/>
              <w:spacing w:line="248" w:lineRule="exact"/>
              <w:ind w:left="1035" w:right="1029"/>
              <w:jc w:val="center"/>
              <w:rPr>
                <w:b/>
                <w:sz w:val="22"/>
              </w:rPr>
            </w:pPr>
            <w:r>
              <w:rPr>
                <w:b/>
                <w:sz w:val="22"/>
              </w:rPr>
              <w:t>Date</w:t>
            </w:r>
          </w:p>
        </w:tc>
      </w:tr>
      <w:tr>
        <w:trPr>
          <w:trHeight w:val="268" w:hRule="atLeast"/>
        </w:trPr>
        <w:tc>
          <w:tcPr>
            <w:tcW w:w="3114" w:type="dxa"/>
            <w:tcBorders>
              <w:left w:val="single" w:sz="6" w:space="0" w:color="000000"/>
            </w:tcBorders>
          </w:tcPr>
          <w:p>
            <w:pPr>
              <w:pStyle w:val="TableParagraph"/>
              <w:spacing w:line="248" w:lineRule="exact"/>
              <w:ind w:left="297"/>
              <w:rPr>
                <w:sz w:val="22"/>
              </w:rPr>
            </w:pPr>
            <w:r>
              <w:rPr>
                <w:sz w:val="22"/>
              </w:rPr>
              <w:t>Area Prescribing Committee</w:t>
            </w:r>
          </w:p>
        </w:tc>
        <w:tc>
          <w:tcPr>
            <w:tcW w:w="3063" w:type="dxa"/>
          </w:tcPr>
          <w:p>
            <w:pPr>
              <w:pStyle w:val="TableParagraph"/>
              <w:spacing w:line="248" w:lineRule="exact"/>
              <w:ind w:right="263"/>
              <w:jc w:val="right"/>
              <w:rPr>
                <w:sz w:val="22"/>
              </w:rPr>
            </w:pPr>
            <w:r>
              <w:rPr>
                <w:sz w:val="22"/>
              </w:rPr>
              <w:t>Area Prescribing Committee</w:t>
            </w:r>
          </w:p>
        </w:tc>
        <w:tc>
          <w:tcPr>
            <w:tcW w:w="3068" w:type="dxa"/>
          </w:tcPr>
          <w:p>
            <w:pPr>
              <w:pStyle w:val="TableParagraph"/>
              <w:spacing w:line="248" w:lineRule="exact"/>
              <w:ind w:left="1037" w:right="1029"/>
              <w:jc w:val="center"/>
              <w:rPr>
                <w:sz w:val="22"/>
              </w:rPr>
            </w:pPr>
            <w:r>
              <w:rPr>
                <w:sz w:val="22"/>
              </w:rPr>
              <w:t>27/4/2017</w:t>
            </w:r>
          </w:p>
        </w:tc>
      </w:tr>
      <w:tr>
        <w:trPr>
          <w:trHeight w:val="537" w:hRule="atLeast"/>
        </w:trPr>
        <w:tc>
          <w:tcPr>
            <w:tcW w:w="3114" w:type="dxa"/>
            <w:tcBorders>
              <w:left w:val="single" w:sz="6" w:space="0" w:color="000000"/>
            </w:tcBorders>
          </w:tcPr>
          <w:p>
            <w:pPr>
              <w:pStyle w:val="TableParagraph"/>
              <w:spacing w:line="267" w:lineRule="exact"/>
              <w:ind w:left="201" w:right="197"/>
              <w:jc w:val="center"/>
              <w:rPr>
                <w:sz w:val="22"/>
              </w:rPr>
            </w:pPr>
            <w:r>
              <w:rPr>
                <w:sz w:val="22"/>
              </w:rPr>
              <w:t>Dr Anita Amin,</w:t>
            </w:r>
          </w:p>
          <w:p>
            <w:pPr>
              <w:pStyle w:val="TableParagraph"/>
              <w:spacing w:line="251" w:lineRule="exact"/>
              <w:ind w:left="201" w:right="193"/>
              <w:jc w:val="center"/>
              <w:rPr>
                <w:sz w:val="22"/>
              </w:rPr>
            </w:pPr>
            <w:r>
              <w:rPr>
                <w:sz w:val="22"/>
              </w:rPr>
              <w:t>Dr Von der Werth</w:t>
            </w:r>
          </w:p>
        </w:tc>
        <w:tc>
          <w:tcPr>
            <w:tcW w:w="3063" w:type="dxa"/>
          </w:tcPr>
          <w:p>
            <w:pPr>
              <w:pStyle w:val="TableParagraph"/>
              <w:spacing w:line="268" w:lineRule="exact"/>
              <w:ind w:left="386"/>
              <w:rPr>
                <w:sz w:val="22"/>
              </w:rPr>
            </w:pPr>
            <w:r>
              <w:rPr>
                <w:sz w:val="22"/>
              </w:rPr>
              <w:t>Consultant Dermatologist</w:t>
            </w:r>
          </w:p>
        </w:tc>
        <w:tc>
          <w:tcPr>
            <w:tcW w:w="3068" w:type="dxa"/>
          </w:tcPr>
          <w:p>
            <w:pPr>
              <w:pStyle w:val="TableParagraph"/>
              <w:spacing w:line="268" w:lineRule="exact"/>
              <w:ind w:left="1037" w:right="1029"/>
              <w:jc w:val="center"/>
              <w:rPr>
                <w:sz w:val="22"/>
              </w:rPr>
            </w:pPr>
            <w:r>
              <w:rPr>
                <w:sz w:val="22"/>
              </w:rPr>
              <w:t>27/4/2017</w:t>
            </w:r>
          </w:p>
        </w:tc>
      </w:tr>
      <w:tr>
        <w:trPr>
          <w:trHeight w:val="537" w:hRule="atLeast"/>
        </w:trPr>
        <w:tc>
          <w:tcPr>
            <w:tcW w:w="3114" w:type="dxa"/>
            <w:tcBorders>
              <w:left w:val="single" w:sz="6" w:space="0" w:color="000000"/>
            </w:tcBorders>
          </w:tcPr>
          <w:p>
            <w:pPr>
              <w:pStyle w:val="TableParagraph"/>
              <w:spacing w:line="265" w:lineRule="exact"/>
              <w:ind w:left="201" w:right="198"/>
              <w:jc w:val="center"/>
              <w:rPr>
                <w:sz w:val="22"/>
              </w:rPr>
            </w:pPr>
            <w:r>
              <w:rPr>
                <w:sz w:val="22"/>
              </w:rPr>
              <w:t>Dr Sathianathan Panthakalam</w:t>
            </w:r>
          </w:p>
          <w:p>
            <w:pPr>
              <w:pStyle w:val="TableParagraph"/>
              <w:spacing w:line="252" w:lineRule="exact"/>
              <w:ind w:left="201" w:right="197"/>
              <w:jc w:val="center"/>
              <w:rPr>
                <w:sz w:val="22"/>
              </w:rPr>
            </w:pPr>
            <w:r>
              <w:rPr>
                <w:sz w:val="22"/>
              </w:rPr>
              <w:t>Dr Andrew Pool</w:t>
            </w:r>
          </w:p>
        </w:tc>
        <w:tc>
          <w:tcPr>
            <w:tcW w:w="3063" w:type="dxa"/>
          </w:tcPr>
          <w:p>
            <w:pPr>
              <w:pStyle w:val="TableParagraph"/>
              <w:spacing w:line="265" w:lineRule="exact"/>
              <w:ind w:right="301"/>
              <w:jc w:val="right"/>
              <w:rPr>
                <w:sz w:val="22"/>
              </w:rPr>
            </w:pPr>
            <w:r>
              <w:rPr>
                <w:sz w:val="22"/>
              </w:rPr>
              <w:t>Consultant Rheumatologist</w:t>
            </w:r>
          </w:p>
        </w:tc>
        <w:tc>
          <w:tcPr>
            <w:tcW w:w="3068" w:type="dxa"/>
          </w:tcPr>
          <w:p>
            <w:pPr>
              <w:pStyle w:val="TableParagraph"/>
              <w:spacing w:line="265" w:lineRule="exact"/>
              <w:ind w:left="1037" w:right="1029"/>
              <w:jc w:val="center"/>
              <w:rPr>
                <w:sz w:val="22"/>
              </w:rPr>
            </w:pPr>
            <w:r>
              <w:rPr>
                <w:sz w:val="22"/>
              </w:rPr>
              <w:t>27/4/2017</w:t>
            </w:r>
          </w:p>
        </w:tc>
      </w:tr>
      <w:tr>
        <w:trPr>
          <w:trHeight w:val="806" w:hRule="atLeast"/>
        </w:trPr>
        <w:tc>
          <w:tcPr>
            <w:tcW w:w="3114" w:type="dxa"/>
            <w:tcBorders>
              <w:left w:val="single" w:sz="6" w:space="0" w:color="000000"/>
            </w:tcBorders>
          </w:tcPr>
          <w:p>
            <w:pPr>
              <w:pStyle w:val="TableParagraph"/>
              <w:spacing w:line="265" w:lineRule="exact"/>
              <w:ind w:left="412" w:hanging="106"/>
              <w:rPr>
                <w:sz w:val="22"/>
              </w:rPr>
            </w:pPr>
            <w:r>
              <w:rPr>
                <w:sz w:val="22"/>
              </w:rPr>
              <w:t>Dr Muhammad Chowdhury,</w:t>
            </w:r>
          </w:p>
          <w:p>
            <w:pPr>
              <w:pStyle w:val="TableParagraph"/>
              <w:spacing w:line="270" w:lineRule="atLeast"/>
              <w:ind w:left="412" w:right="401"/>
              <w:jc w:val="center"/>
              <w:rPr>
                <w:sz w:val="22"/>
              </w:rPr>
            </w:pPr>
            <w:r>
              <w:rPr>
                <w:sz w:val="22"/>
              </w:rPr>
              <w:t>Dr Monika Lipnicka-Khan, Dr Yuankai Lee</w:t>
            </w:r>
          </w:p>
        </w:tc>
        <w:tc>
          <w:tcPr>
            <w:tcW w:w="3063" w:type="dxa"/>
          </w:tcPr>
          <w:p>
            <w:pPr>
              <w:pStyle w:val="TableParagraph"/>
              <w:spacing w:line="265" w:lineRule="exact"/>
              <w:ind w:left="458"/>
              <w:rPr>
                <w:sz w:val="22"/>
              </w:rPr>
            </w:pPr>
            <w:r>
              <w:rPr>
                <w:sz w:val="22"/>
              </w:rPr>
              <w:t>Consultant Neurologists</w:t>
            </w:r>
          </w:p>
        </w:tc>
        <w:tc>
          <w:tcPr>
            <w:tcW w:w="3068" w:type="dxa"/>
          </w:tcPr>
          <w:p>
            <w:pPr>
              <w:pStyle w:val="TableParagraph"/>
              <w:spacing w:line="265" w:lineRule="exact"/>
              <w:ind w:left="1037" w:right="1029"/>
              <w:jc w:val="center"/>
              <w:rPr>
                <w:sz w:val="22"/>
              </w:rPr>
            </w:pPr>
            <w:r>
              <w:rPr>
                <w:sz w:val="22"/>
              </w:rPr>
              <w:t>27/4/2017</w:t>
            </w:r>
          </w:p>
        </w:tc>
      </w:tr>
    </w:tbl>
    <w:p>
      <w:pPr>
        <w:spacing w:after="0" w:line="265" w:lineRule="exact"/>
        <w:jc w:val="center"/>
        <w:rPr>
          <w:sz w:val="22"/>
        </w:rPr>
        <w:sectPr>
          <w:pgSz w:w="11910" w:h="16840"/>
          <w:pgMar w:header="541" w:footer="1020" w:top="1600" w:bottom="1200" w:left="300" w:right="1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3"/>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5"/>
      </w:tblGrid>
      <w:tr>
        <w:trPr>
          <w:trHeight w:val="268" w:hRule="atLeast"/>
        </w:trPr>
        <w:tc>
          <w:tcPr>
            <w:tcW w:w="11025" w:type="dxa"/>
            <w:shd w:val="clear" w:color="auto" w:fill="8DB3E1"/>
          </w:tcPr>
          <w:p>
            <w:pPr>
              <w:pStyle w:val="TableParagraph"/>
              <w:spacing w:line="248" w:lineRule="exact"/>
              <w:ind w:left="4809" w:right="4801"/>
              <w:jc w:val="center"/>
              <w:rPr>
                <w:b/>
                <w:sz w:val="22"/>
              </w:rPr>
            </w:pPr>
            <w:r>
              <w:rPr>
                <w:b/>
                <w:sz w:val="22"/>
              </w:rPr>
              <w:t>INFORMATION</w:t>
            </w:r>
          </w:p>
        </w:tc>
      </w:tr>
      <w:tr>
        <w:trPr>
          <w:trHeight w:val="1343" w:hRule="atLeast"/>
        </w:trPr>
        <w:tc>
          <w:tcPr>
            <w:tcW w:w="11025" w:type="dxa"/>
          </w:tcPr>
          <w:p>
            <w:pPr>
              <w:pStyle w:val="TableParagraph"/>
              <w:ind w:left="107" w:right="299"/>
              <w:rPr>
                <w:sz w:val="22"/>
              </w:rPr>
            </w:pPr>
            <w:r>
              <w:rPr>
                <w:sz w:val="22"/>
              </w:rPr>
              <w:t>This information sheet does not replace the Summary of Product Characteristics (SmPC), which should be read in conjunction with this guidance. Prescribers should also refer to the appropriate paragraph in the current edition of the BNF.</w:t>
            </w:r>
          </w:p>
          <w:p>
            <w:pPr>
              <w:pStyle w:val="TableParagraph"/>
              <w:ind w:left="107"/>
              <w:rPr>
                <w:sz w:val="22"/>
              </w:rPr>
            </w:pPr>
            <w:r>
              <w:rPr>
                <w:b/>
                <w:sz w:val="22"/>
              </w:rPr>
              <w:t>Link to SmPC </w:t>
            </w:r>
            <w:hyperlink r:id="rId7">
              <w:r>
                <w:rPr>
                  <w:color w:val="0000FF"/>
                  <w:sz w:val="22"/>
                  <w:u w:val="single" w:color="0000FF"/>
                </w:rPr>
                <w:t>http://www.medicines.org.uk</w:t>
              </w:r>
            </w:hyperlink>
          </w:p>
        </w:tc>
      </w:tr>
      <w:tr>
        <w:trPr>
          <w:trHeight w:val="2179" w:hRule="atLeast"/>
        </w:trPr>
        <w:tc>
          <w:tcPr>
            <w:tcW w:w="11025" w:type="dxa"/>
          </w:tcPr>
          <w:p>
            <w:pPr>
              <w:pStyle w:val="TableParagraph"/>
              <w:spacing w:line="265" w:lineRule="exact"/>
              <w:ind w:left="107"/>
              <w:rPr>
                <w:b/>
                <w:sz w:val="22"/>
              </w:rPr>
            </w:pPr>
            <w:r>
              <w:rPr>
                <w:b/>
                <w:sz w:val="22"/>
              </w:rPr>
              <w:t>Background to use for the indication/s, including licence status</w:t>
            </w:r>
          </w:p>
          <w:p>
            <w:pPr>
              <w:pStyle w:val="TableParagraph"/>
              <w:numPr>
                <w:ilvl w:val="0"/>
                <w:numId w:val="2"/>
              </w:numPr>
              <w:tabs>
                <w:tab w:pos="820" w:val="left" w:leader="none"/>
                <w:tab w:pos="822" w:val="left" w:leader="none"/>
              </w:tabs>
              <w:spacing w:line="240" w:lineRule="auto" w:before="5" w:after="0"/>
              <w:ind w:left="828" w:right="0" w:hanging="361"/>
              <w:jc w:val="left"/>
              <w:rPr>
                <w:sz w:val="22"/>
              </w:rPr>
            </w:pPr>
            <w:r>
              <w:rPr>
                <w:sz w:val="22"/>
              </w:rPr>
              <w:t>Mycophenolate is a potent</w:t>
            </w:r>
            <w:r>
              <w:rPr>
                <w:spacing w:val="-3"/>
                <w:sz w:val="22"/>
              </w:rPr>
              <w:t> </w:t>
            </w:r>
            <w:r>
              <w:rPr>
                <w:sz w:val="22"/>
              </w:rPr>
              <w:t>immunosuppressant.</w:t>
            </w:r>
          </w:p>
          <w:p>
            <w:pPr>
              <w:pStyle w:val="TableParagraph"/>
              <w:numPr>
                <w:ilvl w:val="0"/>
                <w:numId w:val="2"/>
              </w:numPr>
              <w:tabs>
                <w:tab w:pos="820" w:val="left" w:leader="none"/>
                <w:tab w:pos="822" w:val="left" w:leader="none"/>
              </w:tabs>
              <w:spacing w:line="240" w:lineRule="auto" w:before="3" w:after="0"/>
              <w:ind w:left="828" w:right="886" w:hanging="361"/>
              <w:jc w:val="left"/>
              <w:rPr>
                <w:sz w:val="22"/>
              </w:rPr>
            </w:pPr>
            <w:r>
              <w:rPr>
                <w:sz w:val="22"/>
              </w:rPr>
              <w:t>Mycophenolate is a licensed medicine with marketing authorisation for the use in severe eczema and blistering skin diseases including pemphigus and pemphigoid. Unlicensed indications include; thrombocytopenic purpurea, ANCA +ve &amp; ANCA –ve vasculitis, inflammatory rheumatic disease and connective tissue diseases, second line therapy for myasthenia gravies, inflammatory myopathies and neuropathies, CNS vasculitis and other immune-mediate peripheral and central nervous system</w:t>
            </w:r>
            <w:r>
              <w:rPr>
                <w:spacing w:val="-24"/>
                <w:sz w:val="22"/>
              </w:rPr>
              <w:t> </w:t>
            </w:r>
            <w:r>
              <w:rPr>
                <w:sz w:val="22"/>
              </w:rPr>
              <w:t>disease.</w:t>
            </w:r>
          </w:p>
        </w:tc>
      </w:tr>
      <w:tr>
        <w:trPr>
          <w:trHeight w:val="1096" w:hRule="atLeast"/>
        </w:trPr>
        <w:tc>
          <w:tcPr>
            <w:tcW w:w="11025" w:type="dxa"/>
          </w:tcPr>
          <w:p>
            <w:pPr>
              <w:pStyle w:val="TableParagraph"/>
              <w:spacing w:line="265" w:lineRule="exact"/>
              <w:ind w:left="107"/>
              <w:rPr>
                <w:b/>
                <w:sz w:val="22"/>
              </w:rPr>
            </w:pPr>
            <w:r>
              <w:rPr>
                <w:b/>
                <w:sz w:val="22"/>
              </w:rPr>
              <w:t>Dose and administration</w:t>
            </w:r>
          </w:p>
          <w:p>
            <w:pPr>
              <w:pStyle w:val="TableParagraph"/>
              <w:numPr>
                <w:ilvl w:val="0"/>
                <w:numId w:val="3"/>
              </w:numPr>
              <w:tabs>
                <w:tab w:pos="828" w:val="left" w:leader="none"/>
                <w:tab w:pos="829" w:val="left" w:leader="none"/>
              </w:tabs>
              <w:spacing w:line="279" w:lineRule="exact" w:before="0" w:after="0"/>
              <w:ind w:left="828" w:right="0" w:hanging="361"/>
              <w:jc w:val="left"/>
              <w:rPr>
                <w:sz w:val="22"/>
              </w:rPr>
            </w:pPr>
            <w:r>
              <w:rPr>
                <w:sz w:val="22"/>
              </w:rPr>
              <w:t>The recommended adult dose is between 1g and 3g daily, taken in 2 divided</w:t>
            </w:r>
            <w:r>
              <w:rPr>
                <w:spacing w:val="-15"/>
                <w:sz w:val="22"/>
              </w:rPr>
              <w:t> </w:t>
            </w:r>
            <w:r>
              <w:rPr>
                <w:sz w:val="22"/>
              </w:rPr>
              <w:t>doses.</w:t>
            </w:r>
          </w:p>
          <w:p>
            <w:pPr>
              <w:pStyle w:val="TableParagraph"/>
              <w:numPr>
                <w:ilvl w:val="0"/>
                <w:numId w:val="3"/>
              </w:numPr>
              <w:tabs>
                <w:tab w:pos="828" w:val="left" w:leader="none"/>
                <w:tab w:pos="829" w:val="left" w:leader="none"/>
              </w:tabs>
              <w:spacing w:line="268" w:lineRule="exact" w:before="6" w:after="0"/>
              <w:ind w:left="828" w:right="627" w:hanging="361"/>
              <w:jc w:val="left"/>
              <w:rPr>
                <w:sz w:val="22"/>
              </w:rPr>
            </w:pPr>
            <w:r>
              <w:rPr>
                <w:sz w:val="22"/>
              </w:rPr>
              <w:t>Gastrointestinal adverse-effects (most commonly diarrhoea and nausea) may be limited by increasing dose frequency (e.g. 500mg four times a</w:t>
            </w:r>
            <w:r>
              <w:rPr>
                <w:spacing w:val="-6"/>
                <w:sz w:val="22"/>
              </w:rPr>
              <w:t> </w:t>
            </w:r>
            <w:r>
              <w:rPr>
                <w:sz w:val="22"/>
              </w:rPr>
              <w:t>day).</w:t>
            </w:r>
          </w:p>
        </w:tc>
      </w:tr>
      <w:tr>
        <w:trPr>
          <w:trHeight w:val="3304" w:hRule="atLeast"/>
        </w:trPr>
        <w:tc>
          <w:tcPr>
            <w:tcW w:w="11025" w:type="dxa"/>
          </w:tcPr>
          <w:p>
            <w:pPr>
              <w:pStyle w:val="TableParagraph"/>
              <w:spacing w:line="265" w:lineRule="exact"/>
              <w:ind w:left="107"/>
              <w:rPr>
                <w:b/>
                <w:sz w:val="22"/>
              </w:rPr>
            </w:pPr>
            <w:r>
              <w:rPr>
                <w:b/>
                <w:sz w:val="22"/>
              </w:rPr>
              <w:t>Cautions (including for pregnancy &amp; lactation where relevant)</w:t>
            </w:r>
          </w:p>
          <w:p>
            <w:pPr>
              <w:pStyle w:val="TableParagraph"/>
              <w:numPr>
                <w:ilvl w:val="0"/>
                <w:numId w:val="4"/>
              </w:numPr>
              <w:tabs>
                <w:tab w:pos="828" w:val="left" w:leader="none"/>
                <w:tab w:pos="829" w:val="left" w:leader="none"/>
              </w:tabs>
              <w:spacing w:line="240" w:lineRule="auto" w:before="0" w:after="0"/>
              <w:ind w:left="828" w:right="0" w:hanging="361"/>
              <w:jc w:val="left"/>
              <w:rPr>
                <w:sz w:val="22"/>
              </w:rPr>
            </w:pPr>
            <w:r>
              <w:rPr>
                <w:sz w:val="22"/>
              </w:rPr>
              <w:t>Avoid excessive unprotected sun exposure, and advise the patient to use a high factor</w:t>
            </w:r>
            <w:r>
              <w:rPr>
                <w:spacing w:val="-14"/>
                <w:sz w:val="22"/>
              </w:rPr>
              <w:t> </w:t>
            </w:r>
            <w:r>
              <w:rPr>
                <w:sz w:val="22"/>
              </w:rPr>
              <w:t>sunscreen.</w:t>
            </w:r>
          </w:p>
          <w:p>
            <w:pPr>
              <w:pStyle w:val="TableParagraph"/>
              <w:numPr>
                <w:ilvl w:val="0"/>
                <w:numId w:val="4"/>
              </w:numPr>
              <w:tabs>
                <w:tab w:pos="828" w:val="left" w:leader="none"/>
                <w:tab w:pos="829" w:val="left" w:leader="none"/>
              </w:tabs>
              <w:spacing w:line="240" w:lineRule="auto" w:before="1" w:after="0"/>
              <w:ind w:left="828" w:right="0" w:hanging="361"/>
              <w:jc w:val="left"/>
              <w:rPr>
                <w:sz w:val="22"/>
              </w:rPr>
            </w:pPr>
            <w:r>
              <w:rPr>
                <w:sz w:val="22"/>
              </w:rPr>
              <w:t>Decreased resistance to infection- including opportunistic</w:t>
            </w:r>
            <w:r>
              <w:rPr>
                <w:spacing w:val="-1"/>
                <w:sz w:val="22"/>
              </w:rPr>
              <w:t> </w:t>
            </w:r>
            <w:r>
              <w:rPr>
                <w:sz w:val="22"/>
              </w:rPr>
              <w:t>infection.</w:t>
            </w:r>
          </w:p>
          <w:p>
            <w:pPr>
              <w:pStyle w:val="TableParagraph"/>
              <w:numPr>
                <w:ilvl w:val="0"/>
                <w:numId w:val="4"/>
              </w:numPr>
              <w:tabs>
                <w:tab w:pos="828" w:val="left" w:leader="none"/>
                <w:tab w:pos="829" w:val="left" w:leader="none"/>
              </w:tabs>
              <w:spacing w:line="237" w:lineRule="auto" w:before="2" w:after="0"/>
              <w:ind w:left="828" w:right="378" w:hanging="361"/>
              <w:jc w:val="left"/>
              <w:rPr>
                <w:sz w:val="22"/>
              </w:rPr>
            </w:pPr>
            <w:r>
              <w:rPr>
                <w:sz w:val="22"/>
              </w:rPr>
              <w:t>Progressive</w:t>
            </w:r>
            <w:r>
              <w:rPr>
                <w:spacing w:val="-5"/>
                <w:sz w:val="22"/>
              </w:rPr>
              <w:t> </w:t>
            </w:r>
            <w:r>
              <w:rPr>
                <w:sz w:val="22"/>
              </w:rPr>
              <w:t>multifocal</w:t>
            </w:r>
            <w:r>
              <w:rPr>
                <w:spacing w:val="-3"/>
                <w:sz w:val="22"/>
              </w:rPr>
              <w:t> </w:t>
            </w:r>
            <w:r>
              <w:rPr>
                <w:sz w:val="22"/>
              </w:rPr>
              <w:t>leukoencephalopathy</w:t>
            </w:r>
            <w:r>
              <w:rPr>
                <w:spacing w:val="-5"/>
                <w:sz w:val="22"/>
              </w:rPr>
              <w:t> </w:t>
            </w:r>
            <w:r>
              <w:rPr>
                <w:sz w:val="22"/>
              </w:rPr>
              <w:t>(PML)</w:t>
            </w:r>
            <w:r>
              <w:rPr>
                <w:spacing w:val="-3"/>
                <w:sz w:val="22"/>
              </w:rPr>
              <w:t> </w:t>
            </w:r>
            <w:r>
              <w:rPr>
                <w:sz w:val="22"/>
              </w:rPr>
              <w:t>should</w:t>
            </w:r>
            <w:r>
              <w:rPr>
                <w:spacing w:val="-4"/>
                <w:sz w:val="22"/>
              </w:rPr>
              <w:t> </w:t>
            </w:r>
            <w:r>
              <w:rPr>
                <w:sz w:val="22"/>
              </w:rPr>
              <w:t>be</w:t>
            </w:r>
            <w:r>
              <w:rPr>
                <w:spacing w:val="-3"/>
                <w:sz w:val="22"/>
              </w:rPr>
              <w:t> </w:t>
            </w:r>
            <w:r>
              <w:rPr>
                <w:sz w:val="22"/>
              </w:rPr>
              <w:t>considered</w:t>
            </w:r>
            <w:r>
              <w:rPr>
                <w:spacing w:val="-3"/>
                <w:sz w:val="22"/>
              </w:rPr>
              <w:t> </w:t>
            </w:r>
            <w:r>
              <w:rPr>
                <w:sz w:val="22"/>
              </w:rPr>
              <w:t>as</w:t>
            </w:r>
            <w:r>
              <w:rPr>
                <w:spacing w:val="-3"/>
                <w:sz w:val="22"/>
              </w:rPr>
              <w:t> </w:t>
            </w:r>
            <w:r>
              <w:rPr>
                <w:sz w:val="22"/>
              </w:rPr>
              <w:t>a</w:t>
            </w:r>
            <w:r>
              <w:rPr>
                <w:spacing w:val="-5"/>
                <w:sz w:val="22"/>
              </w:rPr>
              <w:t> </w:t>
            </w:r>
            <w:r>
              <w:rPr>
                <w:sz w:val="22"/>
              </w:rPr>
              <w:t>differential</w:t>
            </w:r>
            <w:r>
              <w:rPr>
                <w:spacing w:val="-4"/>
                <w:sz w:val="22"/>
              </w:rPr>
              <w:t> </w:t>
            </w:r>
            <w:r>
              <w:rPr>
                <w:sz w:val="22"/>
              </w:rPr>
              <w:t>diagnosis</w:t>
            </w:r>
            <w:r>
              <w:rPr>
                <w:spacing w:val="-3"/>
                <w:sz w:val="22"/>
              </w:rPr>
              <w:t> </w:t>
            </w:r>
            <w:r>
              <w:rPr>
                <w:sz w:val="22"/>
              </w:rPr>
              <w:t>in</w:t>
            </w:r>
            <w:r>
              <w:rPr>
                <w:spacing w:val="-4"/>
                <w:sz w:val="22"/>
              </w:rPr>
              <w:t> </w:t>
            </w:r>
            <w:r>
              <w:rPr>
                <w:sz w:val="22"/>
              </w:rPr>
              <w:t>patients reporting neurological symptoms on treatment with</w:t>
            </w:r>
            <w:r>
              <w:rPr>
                <w:spacing w:val="-10"/>
                <w:sz w:val="22"/>
              </w:rPr>
              <w:t> </w:t>
            </w:r>
            <w:r>
              <w:rPr>
                <w:sz w:val="22"/>
              </w:rPr>
              <w:t>mycophenolate.</w:t>
            </w:r>
          </w:p>
          <w:p>
            <w:pPr>
              <w:pStyle w:val="TableParagraph"/>
              <w:numPr>
                <w:ilvl w:val="0"/>
                <w:numId w:val="4"/>
              </w:numPr>
              <w:tabs>
                <w:tab w:pos="828" w:val="left" w:leader="none"/>
                <w:tab w:pos="829" w:val="left" w:leader="none"/>
              </w:tabs>
              <w:spacing w:line="240" w:lineRule="auto" w:before="2" w:after="0"/>
              <w:ind w:left="828" w:right="0" w:hanging="361"/>
              <w:jc w:val="left"/>
              <w:rPr>
                <w:sz w:val="22"/>
              </w:rPr>
            </w:pPr>
            <w:r>
              <w:rPr>
                <w:sz w:val="22"/>
              </w:rPr>
              <w:t>Use with caution in patients with active serious digestive system</w:t>
            </w:r>
            <w:r>
              <w:rPr>
                <w:spacing w:val="-7"/>
                <w:sz w:val="22"/>
              </w:rPr>
              <w:t> </w:t>
            </w:r>
            <w:r>
              <w:rPr>
                <w:sz w:val="22"/>
              </w:rPr>
              <w:t>disease.</w:t>
            </w:r>
          </w:p>
          <w:p>
            <w:pPr>
              <w:pStyle w:val="TableParagraph"/>
              <w:ind w:left="107"/>
              <w:rPr>
                <w:b/>
                <w:sz w:val="22"/>
              </w:rPr>
            </w:pPr>
            <w:r>
              <w:rPr>
                <w:b/>
                <w:sz w:val="22"/>
              </w:rPr>
              <w:t>Pregnancy and Lactation</w:t>
            </w:r>
          </w:p>
          <w:p>
            <w:pPr>
              <w:pStyle w:val="TableParagraph"/>
              <w:numPr>
                <w:ilvl w:val="0"/>
                <w:numId w:val="4"/>
              </w:numPr>
              <w:tabs>
                <w:tab w:pos="828" w:val="left" w:leader="none"/>
                <w:tab w:pos="829" w:val="left" w:leader="none"/>
              </w:tabs>
              <w:spacing w:line="240" w:lineRule="auto" w:before="1" w:after="0"/>
              <w:ind w:left="828" w:right="299" w:hanging="361"/>
              <w:jc w:val="left"/>
              <w:rPr>
                <w:sz w:val="22"/>
              </w:rPr>
            </w:pPr>
            <w:r>
              <w:rPr>
                <w:sz w:val="22"/>
              </w:rPr>
              <w:t>Pregnancy/contraception. Women AND men of childbearing potential receiving mycophenolate mofetil should be advised to use effective contraception prior to, during and for six weeks after stopping</w:t>
            </w:r>
            <w:r>
              <w:rPr>
                <w:spacing w:val="-18"/>
                <w:sz w:val="22"/>
              </w:rPr>
              <w:t> </w:t>
            </w:r>
            <w:r>
              <w:rPr>
                <w:sz w:val="22"/>
              </w:rPr>
              <w:t>treatment.</w:t>
            </w:r>
          </w:p>
          <w:p>
            <w:pPr>
              <w:pStyle w:val="TableParagraph"/>
              <w:numPr>
                <w:ilvl w:val="0"/>
                <w:numId w:val="4"/>
              </w:numPr>
              <w:tabs>
                <w:tab w:pos="828" w:val="left" w:leader="none"/>
                <w:tab w:pos="829" w:val="left" w:leader="none"/>
              </w:tabs>
              <w:spacing w:line="237" w:lineRule="auto" w:before="3" w:after="0"/>
              <w:ind w:left="828" w:right="702" w:hanging="361"/>
              <w:jc w:val="left"/>
              <w:rPr>
                <w:sz w:val="22"/>
              </w:rPr>
            </w:pPr>
            <w:r>
              <w:rPr>
                <w:sz w:val="22"/>
              </w:rPr>
              <w:t>All patients contemplating becoming pregnant must be seen by a Consultant at the earliest opportunity to discuss the complex issues surrounding therapy with</w:t>
            </w:r>
            <w:r>
              <w:rPr>
                <w:spacing w:val="-12"/>
                <w:sz w:val="22"/>
              </w:rPr>
              <w:t> </w:t>
            </w:r>
            <w:r>
              <w:rPr>
                <w:sz w:val="22"/>
              </w:rPr>
              <w:t>mycophenolate.</w:t>
            </w:r>
          </w:p>
          <w:p>
            <w:pPr>
              <w:pStyle w:val="TableParagraph"/>
              <w:numPr>
                <w:ilvl w:val="0"/>
                <w:numId w:val="4"/>
              </w:numPr>
              <w:tabs>
                <w:tab w:pos="828" w:val="left" w:leader="none"/>
                <w:tab w:pos="829" w:val="left" w:leader="none"/>
              </w:tabs>
              <w:spacing w:line="263" w:lineRule="exact" w:before="2" w:after="0"/>
              <w:ind w:left="828" w:right="0" w:hanging="361"/>
              <w:jc w:val="left"/>
              <w:rPr>
                <w:sz w:val="22"/>
              </w:rPr>
            </w:pPr>
            <w:r>
              <w:rPr>
                <w:sz w:val="22"/>
              </w:rPr>
              <w:t>Breastfeeding: women being treated with mycophenolate mofetil should not</w:t>
            </w:r>
            <w:r>
              <w:rPr>
                <w:spacing w:val="-16"/>
                <w:sz w:val="22"/>
              </w:rPr>
              <w:t> </w:t>
            </w:r>
            <w:r>
              <w:rPr>
                <w:sz w:val="22"/>
              </w:rPr>
              <w:t>breastfeed.</w:t>
            </w:r>
          </w:p>
        </w:tc>
      </w:tr>
      <w:tr>
        <w:trPr>
          <w:trHeight w:val="549" w:hRule="atLeast"/>
        </w:trPr>
        <w:tc>
          <w:tcPr>
            <w:tcW w:w="11025" w:type="dxa"/>
          </w:tcPr>
          <w:p>
            <w:pPr>
              <w:pStyle w:val="TableParagraph"/>
              <w:spacing w:line="265" w:lineRule="exact"/>
              <w:ind w:left="107"/>
              <w:rPr>
                <w:b/>
                <w:sz w:val="22"/>
              </w:rPr>
            </w:pPr>
            <w:r>
              <w:rPr>
                <w:b/>
                <w:sz w:val="22"/>
              </w:rPr>
              <w:t>Contraindications</w:t>
            </w:r>
          </w:p>
          <w:p>
            <w:pPr>
              <w:pStyle w:val="TableParagraph"/>
              <w:numPr>
                <w:ilvl w:val="0"/>
                <w:numId w:val="5"/>
              </w:numPr>
              <w:tabs>
                <w:tab w:pos="828" w:val="left" w:leader="none"/>
                <w:tab w:pos="829" w:val="left" w:leader="none"/>
              </w:tabs>
              <w:spacing w:line="263" w:lineRule="exact" w:before="0" w:after="0"/>
              <w:ind w:left="828" w:right="0" w:hanging="361"/>
              <w:jc w:val="left"/>
              <w:rPr>
                <w:sz w:val="22"/>
              </w:rPr>
            </w:pPr>
            <w:r>
              <w:rPr>
                <w:sz w:val="22"/>
              </w:rPr>
              <w:t>Hypersensitivity to</w:t>
            </w:r>
            <w:r>
              <w:rPr>
                <w:spacing w:val="-2"/>
                <w:sz w:val="22"/>
              </w:rPr>
              <w:t> </w:t>
            </w:r>
            <w:r>
              <w:rPr>
                <w:sz w:val="22"/>
              </w:rPr>
              <w:t>mycophenolate.</w:t>
            </w:r>
          </w:p>
        </w:tc>
      </w:tr>
      <w:tr>
        <w:trPr>
          <w:trHeight w:val="549" w:hRule="atLeast"/>
        </w:trPr>
        <w:tc>
          <w:tcPr>
            <w:tcW w:w="11025" w:type="dxa"/>
          </w:tcPr>
          <w:p>
            <w:pPr>
              <w:pStyle w:val="TableParagraph"/>
              <w:spacing w:line="265" w:lineRule="exact"/>
              <w:ind w:left="107"/>
              <w:rPr>
                <w:b/>
                <w:sz w:val="22"/>
              </w:rPr>
            </w:pPr>
            <w:r>
              <w:rPr>
                <w:b/>
                <w:sz w:val="22"/>
              </w:rPr>
              <w:t>Side effects</w:t>
            </w:r>
          </w:p>
          <w:p>
            <w:pPr>
              <w:pStyle w:val="TableParagraph"/>
              <w:numPr>
                <w:ilvl w:val="0"/>
                <w:numId w:val="6"/>
              </w:numPr>
              <w:tabs>
                <w:tab w:pos="828" w:val="left" w:leader="none"/>
                <w:tab w:pos="829" w:val="left" w:leader="none"/>
              </w:tabs>
              <w:spacing w:line="263" w:lineRule="exact" w:before="0" w:after="0"/>
              <w:ind w:left="828" w:right="0" w:hanging="361"/>
              <w:jc w:val="left"/>
              <w:rPr>
                <w:sz w:val="22"/>
              </w:rPr>
            </w:pPr>
            <w:r>
              <w:rPr>
                <w:sz w:val="22"/>
              </w:rPr>
              <w:t>Very common: Increased infections, blood dyscrasia, GI</w:t>
            </w:r>
            <w:r>
              <w:rPr>
                <w:spacing w:val="-4"/>
                <w:sz w:val="22"/>
              </w:rPr>
              <w:t> </w:t>
            </w:r>
            <w:r>
              <w:rPr>
                <w:sz w:val="22"/>
              </w:rPr>
              <w:t>disturbances.</w:t>
            </w:r>
          </w:p>
        </w:tc>
      </w:tr>
      <w:tr>
        <w:trPr>
          <w:trHeight w:val="2128" w:hRule="atLeast"/>
        </w:trPr>
        <w:tc>
          <w:tcPr>
            <w:tcW w:w="11025" w:type="dxa"/>
          </w:tcPr>
          <w:p>
            <w:pPr>
              <w:pStyle w:val="TableParagraph"/>
              <w:ind w:left="107" w:right="447"/>
              <w:rPr>
                <w:b/>
                <w:sz w:val="22"/>
              </w:rPr>
            </w:pPr>
            <w:r>
              <w:rPr>
                <w:b/>
                <w:sz w:val="22"/>
              </w:rPr>
              <w:t>Interactions – Prescribers are advised to check the BNF or ask a pharmacist for advice where required. This is not a comprehensive list</w:t>
            </w:r>
          </w:p>
          <w:p>
            <w:pPr>
              <w:pStyle w:val="TableParagraph"/>
              <w:numPr>
                <w:ilvl w:val="0"/>
                <w:numId w:val="7"/>
              </w:numPr>
              <w:tabs>
                <w:tab w:pos="820" w:val="left" w:leader="none"/>
                <w:tab w:pos="822" w:val="left" w:leader="none"/>
              </w:tabs>
              <w:spacing w:line="240" w:lineRule="auto" w:before="40" w:after="0"/>
              <w:ind w:left="821" w:right="0" w:hanging="354"/>
              <w:jc w:val="left"/>
              <w:rPr>
                <w:sz w:val="22"/>
              </w:rPr>
            </w:pPr>
            <w:r>
              <w:rPr>
                <w:sz w:val="22"/>
              </w:rPr>
              <w:t>Plasma concentration of the active metabolite of mycophenolate is reduced by</w:t>
            </w:r>
            <w:r>
              <w:rPr>
                <w:spacing w:val="-16"/>
                <w:sz w:val="22"/>
              </w:rPr>
              <w:t> </w:t>
            </w:r>
            <w:r>
              <w:rPr>
                <w:sz w:val="22"/>
              </w:rPr>
              <w:t>rifampicin.</w:t>
            </w:r>
          </w:p>
          <w:p>
            <w:pPr>
              <w:pStyle w:val="TableParagraph"/>
              <w:spacing w:before="80"/>
              <w:ind w:left="107"/>
              <w:rPr>
                <w:b/>
                <w:sz w:val="22"/>
              </w:rPr>
            </w:pPr>
            <w:r>
              <w:rPr>
                <w:b/>
                <w:sz w:val="22"/>
              </w:rPr>
              <w:t>Vaccines</w:t>
            </w:r>
          </w:p>
          <w:p>
            <w:pPr>
              <w:pStyle w:val="TableParagraph"/>
              <w:numPr>
                <w:ilvl w:val="0"/>
                <w:numId w:val="7"/>
              </w:numPr>
              <w:tabs>
                <w:tab w:pos="816" w:val="left" w:leader="none"/>
                <w:tab w:pos="817" w:val="left" w:leader="none"/>
              </w:tabs>
              <w:spacing w:line="240" w:lineRule="auto" w:before="78" w:after="0"/>
              <w:ind w:left="816" w:right="0" w:hanging="349"/>
              <w:jc w:val="left"/>
              <w:rPr>
                <w:b/>
                <w:sz w:val="22"/>
              </w:rPr>
            </w:pPr>
            <w:r>
              <w:rPr>
                <w:sz w:val="22"/>
              </w:rPr>
              <w:t>Severe</w:t>
            </w:r>
            <w:r>
              <w:rPr>
                <w:spacing w:val="-7"/>
                <w:sz w:val="22"/>
              </w:rPr>
              <w:t> </w:t>
            </w:r>
            <w:r>
              <w:rPr>
                <w:sz w:val="22"/>
              </w:rPr>
              <w:t>or</w:t>
            </w:r>
            <w:r>
              <w:rPr>
                <w:spacing w:val="-8"/>
                <w:sz w:val="22"/>
              </w:rPr>
              <w:t> </w:t>
            </w:r>
            <w:r>
              <w:rPr>
                <w:sz w:val="22"/>
              </w:rPr>
              <w:t>fatal</w:t>
            </w:r>
            <w:r>
              <w:rPr>
                <w:spacing w:val="-8"/>
                <w:sz w:val="22"/>
              </w:rPr>
              <w:t> </w:t>
            </w:r>
            <w:r>
              <w:rPr>
                <w:sz w:val="22"/>
              </w:rPr>
              <w:t>infections</w:t>
            </w:r>
            <w:r>
              <w:rPr>
                <w:spacing w:val="-10"/>
                <w:sz w:val="22"/>
              </w:rPr>
              <w:t> </w:t>
            </w:r>
            <w:r>
              <w:rPr>
                <w:sz w:val="22"/>
              </w:rPr>
              <w:t>may</w:t>
            </w:r>
            <w:r>
              <w:rPr>
                <w:spacing w:val="-9"/>
                <w:sz w:val="22"/>
              </w:rPr>
              <w:t> </w:t>
            </w:r>
            <w:r>
              <w:rPr>
                <w:sz w:val="22"/>
              </w:rPr>
              <w:t>occur</w:t>
            </w:r>
            <w:r>
              <w:rPr>
                <w:spacing w:val="-9"/>
                <w:sz w:val="22"/>
              </w:rPr>
              <w:t> </w:t>
            </w:r>
            <w:r>
              <w:rPr>
                <w:sz w:val="22"/>
              </w:rPr>
              <w:t>if</w:t>
            </w:r>
            <w:r>
              <w:rPr>
                <w:spacing w:val="-6"/>
                <w:sz w:val="22"/>
              </w:rPr>
              <w:t> </w:t>
            </w:r>
            <w:r>
              <w:rPr>
                <w:sz w:val="22"/>
              </w:rPr>
              <w:t>a</w:t>
            </w:r>
            <w:r>
              <w:rPr>
                <w:spacing w:val="-8"/>
                <w:sz w:val="22"/>
              </w:rPr>
              <w:t> </w:t>
            </w:r>
            <w:r>
              <w:rPr>
                <w:sz w:val="22"/>
              </w:rPr>
              <w:t>live</w:t>
            </w:r>
            <w:r>
              <w:rPr>
                <w:spacing w:val="-8"/>
                <w:sz w:val="22"/>
              </w:rPr>
              <w:t> </w:t>
            </w:r>
            <w:r>
              <w:rPr>
                <w:sz w:val="22"/>
              </w:rPr>
              <w:t>vaccine</w:t>
            </w:r>
            <w:r>
              <w:rPr>
                <w:spacing w:val="-7"/>
                <w:sz w:val="22"/>
              </w:rPr>
              <w:t> </w:t>
            </w:r>
            <w:r>
              <w:rPr>
                <w:sz w:val="22"/>
              </w:rPr>
              <w:t>is</w:t>
            </w:r>
            <w:r>
              <w:rPr>
                <w:spacing w:val="-4"/>
                <w:sz w:val="22"/>
              </w:rPr>
              <w:t> </w:t>
            </w:r>
            <w:r>
              <w:rPr>
                <w:sz w:val="22"/>
              </w:rPr>
              <w:t>given</w:t>
            </w:r>
            <w:r>
              <w:rPr>
                <w:spacing w:val="-8"/>
                <w:sz w:val="22"/>
              </w:rPr>
              <w:t> </w:t>
            </w:r>
            <w:r>
              <w:rPr>
                <w:sz w:val="22"/>
              </w:rPr>
              <w:t>concurrently.</w:t>
            </w:r>
            <w:r>
              <w:rPr>
                <w:spacing w:val="-2"/>
                <w:sz w:val="22"/>
              </w:rPr>
              <w:t> </w:t>
            </w:r>
            <w:r>
              <w:rPr>
                <w:b/>
                <w:sz w:val="22"/>
              </w:rPr>
              <w:t>AVOID</w:t>
            </w:r>
            <w:r>
              <w:rPr>
                <w:b/>
                <w:spacing w:val="-6"/>
                <w:sz w:val="22"/>
              </w:rPr>
              <w:t> </w:t>
            </w:r>
            <w:r>
              <w:rPr>
                <w:b/>
                <w:sz w:val="22"/>
              </w:rPr>
              <w:t>LIVE</w:t>
            </w:r>
            <w:r>
              <w:rPr>
                <w:b/>
                <w:spacing w:val="-5"/>
                <w:sz w:val="22"/>
              </w:rPr>
              <w:t> </w:t>
            </w:r>
            <w:r>
              <w:rPr>
                <w:b/>
                <w:sz w:val="22"/>
              </w:rPr>
              <w:t>VACCINES</w:t>
            </w:r>
          </w:p>
          <w:p>
            <w:pPr>
              <w:pStyle w:val="TableParagraph"/>
              <w:numPr>
                <w:ilvl w:val="0"/>
                <w:numId w:val="7"/>
              </w:numPr>
              <w:tabs>
                <w:tab w:pos="828" w:val="left" w:leader="none"/>
                <w:tab w:pos="829" w:val="left" w:leader="none"/>
              </w:tabs>
              <w:spacing w:line="240" w:lineRule="auto" w:before="0" w:after="0"/>
              <w:ind w:left="828" w:right="0" w:hanging="361"/>
              <w:jc w:val="left"/>
              <w:rPr>
                <w:sz w:val="22"/>
              </w:rPr>
            </w:pPr>
            <w:r>
              <w:rPr>
                <w:sz w:val="22"/>
              </w:rPr>
              <w:t>Inactivated</w:t>
            </w:r>
            <w:r>
              <w:rPr>
                <w:spacing w:val="-9"/>
                <w:sz w:val="22"/>
              </w:rPr>
              <w:t> </w:t>
            </w:r>
            <w:r>
              <w:rPr>
                <w:sz w:val="22"/>
              </w:rPr>
              <w:t>vaccines</w:t>
            </w:r>
            <w:r>
              <w:rPr>
                <w:spacing w:val="-8"/>
                <w:sz w:val="22"/>
              </w:rPr>
              <w:t> </w:t>
            </w:r>
            <w:r>
              <w:rPr>
                <w:sz w:val="22"/>
              </w:rPr>
              <w:t>such</w:t>
            </w:r>
            <w:r>
              <w:rPr>
                <w:spacing w:val="-10"/>
                <w:sz w:val="22"/>
              </w:rPr>
              <w:t> </w:t>
            </w:r>
            <w:r>
              <w:rPr>
                <w:sz w:val="22"/>
              </w:rPr>
              <w:t>as</w:t>
            </w:r>
            <w:r>
              <w:rPr>
                <w:spacing w:val="-7"/>
                <w:sz w:val="22"/>
              </w:rPr>
              <w:t> </w:t>
            </w:r>
            <w:r>
              <w:rPr>
                <w:sz w:val="22"/>
              </w:rPr>
              <w:t>influenza</w:t>
            </w:r>
            <w:r>
              <w:rPr>
                <w:spacing w:val="-9"/>
                <w:sz w:val="22"/>
              </w:rPr>
              <w:t> </w:t>
            </w:r>
            <w:r>
              <w:rPr>
                <w:sz w:val="22"/>
              </w:rPr>
              <w:t>vaccine</w:t>
            </w:r>
            <w:r>
              <w:rPr>
                <w:spacing w:val="-6"/>
                <w:sz w:val="22"/>
              </w:rPr>
              <w:t> </w:t>
            </w:r>
            <w:r>
              <w:rPr>
                <w:sz w:val="22"/>
              </w:rPr>
              <w:t>are</w:t>
            </w:r>
            <w:r>
              <w:rPr>
                <w:spacing w:val="-8"/>
                <w:sz w:val="22"/>
              </w:rPr>
              <w:t> </w:t>
            </w:r>
            <w:r>
              <w:rPr>
                <w:sz w:val="22"/>
              </w:rPr>
              <w:t>safe</w:t>
            </w:r>
            <w:r>
              <w:rPr>
                <w:spacing w:val="-11"/>
                <w:sz w:val="22"/>
              </w:rPr>
              <w:t> </w:t>
            </w:r>
            <w:r>
              <w:rPr>
                <w:sz w:val="22"/>
              </w:rPr>
              <w:t>to</w:t>
            </w:r>
            <w:r>
              <w:rPr>
                <w:spacing w:val="-5"/>
                <w:sz w:val="22"/>
              </w:rPr>
              <w:t> </w:t>
            </w:r>
            <w:r>
              <w:rPr>
                <w:sz w:val="22"/>
              </w:rPr>
              <w:t>use</w:t>
            </w:r>
            <w:r>
              <w:rPr>
                <w:spacing w:val="-8"/>
                <w:sz w:val="22"/>
              </w:rPr>
              <w:t> </w:t>
            </w:r>
            <w:r>
              <w:rPr>
                <w:sz w:val="22"/>
              </w:rPr>
              <w:t>although</w:t>
            </w:r>
            <w:r>
              <w:rPr>
                <w:spacing w:val="-7"/>
                <w:sz w:val="22"/>
              </w:rPr>
              <w:t> </w:t>
            </w:r>
            <w:r>
              <w:rPr>
                <w:sz w:val="22"/>
              </w:rPr>
              <w:t>they</w:t>
            </w:r>
            <w:r>
              <w:rPr>
                <w:spacing w:val="-11"/>
                <w:sz w:val="22"/>
              </w:rPr>
              <w:t> </w:t>
            </w:r>
            <w:r>
              <w:rPr>
                <w:sz w:val="22"/>
              </w:rPr>
              <w:t>may</w:t>
            </w:r>
            <w:r>
              <w:rPr>
                <w:spacing w:val="-10"/>
                <w:sz w:val="22"/>
              </w:rPr>
              <w:t> </w:t>
            </w:r>
            <w:r>
              <w:rPr>
                <w:sz w:val="22"/>
              </w:rPr>
              <w:t>elicit</w:t>
            </w:r>
            <w:r>
              <w:rPr>
                <w:spacing w:val="-9"/>
                <w:sz w:val="22"/>
              </w:rPr>
              <w:t> </w:t>
            </w:r>
            <w:r>
              <w:rPr>
                <w:sz w:val="22"/>
              </w:rPr>
              <w:t>a</w:t>
            </w:r>
            <w:r>
              <w:rPr>
                <w:spacing w:val="-9"/>
                <w:sz w:val="22"/>
              </w:rPr>
              <w:t> </w:t>
            </w:r>
            <w:r>
              <w:rPr>
                <w:sz w:val="22"/>
              </w:rPr>
              <w:t>lower</w:t>
            </w:r>
            <w:r>
              <w:rPr>
                <w:spacing w:val="-6"/>
                <w:sz w:val="22"/>
              </w:rPr>
              <w:t> </w:t>
            </w:r>
            <w:r>
              <w:rPr>
                <w:sz w:val="22"/>
              </w:rPr>
              <w:t>response.</w:t>
            </w:r>
          </w:p>
          <w:p>
            <w:pPr>
              <w:pStyle w:val="TableParagraph"/>
              <w:numPr>
                <w:ilvl w:val="0"/>
                <w:numId w:val="7"/>
              </w:numPr>
              <w:tabs>
                <w:tab w:pos="828" w:val="left" w:leader="none"/>
                <w:tab w:pos="829" w:val="left" w:leader="none"/>
              </w:tabs>
              <w:spacing w:line="263" w:lineRule="exact" w:before="1" w:after="0"/>
              <w:ind w:left="828" w:right="0" w:hanging="361"/>
              <w:jc w:val="left"/>
              <w:rPr>
                <w:sz w:val="22"/>
              </w:rPr>
            </w:pPr>
            <w:r>
              <w:rPr>
                <w:sz w:val="22"/>
              </w:rPr>
              <w:t>Also consider appropriate washout period after stopping therapy before administering live vaccines if</w:t>
            </w:r>
            <w:r>
              <w:rPr>
                <w:spacing w:val="-26"/>
                <w:sz w:val="22"/>
              </w:rPr>
              <w:t> </w:t>
            </w:r>
            <w:r>
              <w:rPr>
                <w:sz w:val="22"/>
              </w:rPr>
              <w:t>required.</w:t>
            </w:r>
          </w:p>
        </w:tc>
      </w:tr>
      <w:tr>
        <w:trPr>
          <w:trHeight w:val="546" w:hRule="atLeast"/>
        </w:trPr>
        <w:tc>
          <w:tcPr>
            <w:tcW w:w="11025" w:type="dxa"/>
          </w:tcPr>
          <w:p>
            <w:pPr>
              <w:pStyle w:val="TableParagraph"/>
              <w:spacing w:line="265" w:lineRule="exact"/>
              <w:ind w:left="107"/>
              <w:rPr>
                <w:b/>
                <w:sz w:val="22"/>
              </w:rPr>
            </w:pPr>
            <w:r>
              <w:rPr>
                <w:b/>
                <w:sz w:val="22"/>
              </w:rPr>
              <w:t>Criteria for use</w:t>
            </w:r>
          </w:p>
          <w:p>
            <w:pPr>
              <w:pStyle w:val="TableParagraph"/>
              <w:numPr>
                <w:ilvl w:val="0"/>
                <w:numId w:val="8"/>
              </w:numPr>
              <w:tabs>
                <w:tab w:pos="828" w:val="left" w:leader="none"/>
                <w:tab w:pos="829" w:val="left" w:leader="none"/>
              </w:tabs>
              <w:spacing w:line="261" w:lineRule="exact" w:before="0" w:after="0"/>
              <w:ind w:left="828" w:right="0" w:hanging="361"/>
              <w:jc w:val="left"/>
              <w:rPr>
                <w:sz w:val="22"/>
              </w:rPr>
            </w:pPr>
            <w:r>
              <w:rPr>
                <w:sz w:val="22"/>
              </w:rPr>
              <w:t>Chronic inflammatory conditions as determined by the appropriate</w:t>
            </w:r>
            <w:r>
              <w:rPr>
                <w:spacing w:val="-10"/>
                <w:sz w:val="22"/>
              </w:rPr>
              <w:t> </w:t>
            </w:r>
            <w:r>
              <w:rPr>
                <w:sz w:val="22"/>
              </w:rPr>
              <w:t>specialist.</w:t>
            </w:r>
          </w:p>
        </w:tc>
      </w:tr>
      <w:tr>
        <w:trPr>
          <w:trHeight w:val="539" w:hRule="atLeast"/>
        </w:trPr>
        <w:tc>
          <w:tcPr>
            <w:tcW w:w="11025" w:type="dxa"/>
          </w:tcPr>
          <w:p>
            <w:pPr>
              <w:pStyle w:val="TableParagraph"/>
              <w:spacing w:line="267" w:lineRule="exact"/>
              <w:ind w:left="107"/>
              <w:rPr>
                <w:b/>
                <w:sz w:val="22"/>
              </w:rPr>
            </w:pPr>
            <w:r>
              <w:rPr>
                <w:b/>
                <w:sz w:val="22"/>
              </w:rPr>
              <w:t>Any further information (e.g. supporting therapies)</w:t>
            </w:r>
          </w:p>
          <w:p>
            <w:pPr>
              <w:pStyle w:val="TableParagraph"/>
              <w:spacing w:line="253" w:lineRule="exact"/>
              <w:ind w:left="828"/>
              <w:rPr>
                <w:sz w:val="22"/>
              </w:rPr>
            </w:pPr>
            <w:r>
              <w:rPr>
                <w:sz w:val="22"/>
              </w:rPr>
              <w:t>N/A</w:t>
            </w:r>
          </w:p>
        </w:tc>
      </w:tr>
    </w:tbl>
    <w:p>
      <w:pPr>
        <w:spacing w:after="0" w:line="253" w:lineRule="exact"/>
        <w:rPr>
          <w:sz w:val="22"/>
        </w:rPr>
        <w:sectPr>
          <w:pgSz w:w="11910" w:h="16840"/>
          <w:pgMar w:header="541" w:footer="1020" w:top="1600" w:bottom="1200" w:left="300" w:right="100"/>
        </w:sectPr>
      </w:pPr>
    </w:p>
    <w:p>
      <w:pPr>
        <w:spacing w:before="46"/>
        <w:ind w:left="1113" w:right="1309" w:firstLine="0"/>
        <w:jc w:val="center"/>
        <w:rPr>
          <w:b/>
          <w:sz w:val="22"/>
        </w:rPr>
      </w:pPr>
      <w:r>
        <w:rPr/>
        <w:pict>
          <v:group style="position:absolute;margin-left:30.360001pt;margin-top:82.799980pt;width:534.7pt;height:658.8pt;mso-position-horizontal-relative:page;mso-position-vertical-relative:page;z-index:-19360" coordorigin="607,1656" coordsize="10694,13176">
            <v:line style="position:absolute" from="668,1666" to="668,1935" stroked="true" strokeweight="5.16pt" strokecolor="#8db3e1">
              <v:stroke dashstyle="solid"/>
            </v:line>
            <v:line style="position:absolute" from="11240,1666" to="11240,1935" stroked="true" strokeweight="5.16pt" strokecolor="#8db3e1">
              <v:stroke dashstyle="solid"/>
            </v:line>
            <v:rect style="position:absolute;left:720;top:1665;width:10469;height:270" filled="true" fillcolor="#8db3e1" stroked="false">
              <v:fill type="solid"/>
            </v:rect>
            <v:line style="position:absolute" from="617,1661" to="11292,1661" stroked="true" strokeweight=".48pt" strokecolor="#000000">
              <v:stroke dashstyle="solid"/>
            </v:line>
            <v:line style="position:absolute" from="617,1940" to="11292,1940" stroked="true" strokeweight=".48pt" strokecolor="#000000">
              <v:stroke dashstyle="solid"/>
            </v:line>
            <v:line style="position:absolute" from="612,1656" to="612,14822" stroked="true" strokeweight=".48pt" strokecolor="#000000">
              <v:stroke dashstyle="solid"/>
            </v:line>
            <v:rect style="position:absolute;left:607;top:14822;width:10;height:10" filled="true" fillcolor="#000000" stroked="false">
              <v:fill type="solid"/>
            </v:rect>
            <v:line style="position:absolute" from="617,14827" to="11292,14827" stroked="true" strokeweight=".47998pt" strokecolor="#000000">
              <v:stroke dashstyle="solid"/>
            </v:line>
            <v:line style="position:absolute" from="11296,1656" to="11296,14822" stroked="true" strokeweight=".48004pt" strokecolor="#000000">
              <v:stroke dashstyle="solid"/>
            </v:line>
            <v:rect style="position:absolute;left:11291;top:14822;width:10;height:10" filled="true" fillcolor="#000000" stroked="false">
              <v:fill type="solid"/>
            </v:rect>
            <w10:wrap type="none"/>
          </v:group>
        </w:pict>
      </w:r>
      <w:r>
        <w:rPr>
          <w:b/>
          <w:sz w:val="22"/>
        </w:rPr>
        <w:t>ROLES and RESPONSIBILITIES</w:t>
      </w:r>
    </w:p>
    <w:p>
      <w:pPr>
        <w:spacing w:line="268" w:lineRule="exact" w:before="10"/>
        <w:ind w:left="420" w:right="0" w:firstLine="0"/>
        <w:jc w:val="left"/>
        <w:rPr>
          <w:b/>
          <w:sz w:val="22"/>
        </w:rPr>
      </w:pPr>
      <w:r>
        <w:rPr>
          <w:b/>
          <w:sz w:val="22"/>
        </w:rPr>
        <w:t>Specialist responsibilities:</w:t>
      </w:r>
    </w:p>
    <w:p>
      <w:pPr>
        <w:pStyle w:val="ListParagraph"/>
        <w:numPr>
          <w:ilvl w:val="0"/>
          <w:numId w:val="9"/>
        </w:numPr>
        <w:tabs>
          <w:tab w:pos="779" w:val="left" w:leader="none"/>
          <w:tab w:pos="780" w:val="left" w:leader="none"/>
        </w:tabs>
        <w:spacing w:line="279" w:lineRule="exact" w:before="1" w:after="0"/>
        <w:ind w:left="780" w:right="0" w:hanging="360"/>
        <w:jc w:val="left"/>
        <w:rPr>
          <w:sz w:val="22"/>
        </w:rPr>
      </w:pPr>
      <w:r>
        <w:rPr>
          <w:sz w:val="22"/>
        </w:rPr>
        <w:t>Identify patients requiring mycophenolate and counsel patients</w:t>
      </w:r>
      <w:r>
        <w:rPr>
          <w:spacing w:val="-7"/>
          <w:sz w:val="22"/>
        </w:rPr>
        <w:t> </w:t>
      </w:r>
      <w:r>
        <w:rPr>
          <w:sz w:val="22"/>
        </w:rPr>
        <w:t>appropriately.</w:t>
      </w:r>
    </w:p>
    <w:p>
      <w:pPr>
        <w:pStyle w:val="ListParagraph"/>
        <w:numPr>
          <w:ilvl w:val="0"/>
          <w:numId w:val="9"/>
        </w:numPr>
        <w:tabs>
          <w:tab w:pos="779" w:val="left" w:leader="none"/>
          <w:tab w:pos="780" w:val="left" w:leader="none"/>
        </w:tabs>
        <w:spacing w:line="279" w:lineRule="exact" w:before="0" w:after="0"/>
        <w:ind w:left="780" w:right="0" w:hanging="360"/>
        <w:jc w:val="left"/>
        <w:rPr>
          <w:sz w:val="22"/>
        </w:rPr>
      </w:pPr>
      <w:r>
        <w:rPr>
          <w:sz w:val="22"/>
        </w:rPr>
        <w:t>Undertake pre-treatment testing/assessment as per speciality guidelines </w:t>
      </w:r>
      <w:r>
        <w:rPr>
          <w:sz w:val="22"/>
          <w:vertAlign w:val="superscript"/>
        </w:rPr>
        <w:t>1,3</w:t>
      </w:r>
      <w:r>
        <w:rPr>
          <w:sz w:val="22"/>
          <w:vertAlign w:val="baseline"/>
        </w:rPr>
        <w:t> and record Varicella</w:t>
      </w:r>
      <w:r>
        <w:rPr>
          <w:spacing w:val="-33"/>
          <w:sz w:val="22"/>
          <w:vertAlign w:val="baseline"/>
        </w:rPr>
        <w:t> </w:t>
      </w:r>
      <w:r>
        <w:rPr>
          <w:sz w:val="22"/>
          <w:vertAlign w:val="baseline"/>
        </w:rPr>
        <w:t>status.</w:t>
      </w:r>
    </w:p>
    <w:p>
      <w:pPr>
        <w:pStyle w:val="ListParagraph"/>
        <w:numPr>
          <w:ilvl w:val="0"/>
          <w:numId w:val="9"/>
        </w:numPr>
        <w:tabs>
          <w:tab w:pos="779" w:val="left" w:leader="none"/>
          <w:tab w:pos="780" w:val="left" w:leader="none"/>
        </w:tabs>
        <w:spacing w:line="240" w:lineRule="auto" w:before="0" w:after="0"/>
        <w:ind w:left="780" w:right="0" w:hanging="360"/>
        <w:jc w:val="left"/>
        <w:rPr>
          <w:sz w:val="22"/>
        </w:rPr>
      </w:pPr>
      <w:r>
        <w:rPr>
          <w:sz w:val="22"/>
        </w:rPr>
        <w:t>Record other medications and address possible drug interactions before starting</w:t>
      </w:r>
      <w:r>
        <w:rPr>
          <w:spacing w:val="-15"/>
          <w:sz w:val="22"/>
        </w:rPr>
        <w:t> </w:t>
      </w:r>
      <w:r>
        <w:rPr>
          <w:sz w:val="22"/>
        </w:rPr>
        <w:t>therapy.</w:t>
      </w:r>
    </w:p>
    <w:p>
      <w:pPr>
        <w:pStyle w:val="ListParagraph"/>
        <w:numPr>
          <w:ilvl w:val="0"/>
          <w:numId w:val="9"/>
        </w:numPr>
        <w:tabs>
          <w:tab w:pos="779" w:val="left" w:leader="none"/>
          <w:tab w:pos="780" w:val="left" w:leader="none"/>
        </w:tabs>
        <w:spacing w:line="240" w:lineRule="auto" w:before="1" w:after="0"/>
        <w:ind w:left="780" w:right="934" w:hanging="360"/>
        <w:jc w:val="left"/>
        <w:rPr>
          <w:sz w:val="22"/>
        </w:rPr>
      </w:pPr>
      <w:r>
        <w:rPr>
          <w:sz w:val="22"/>
        </w:rPr>
        <w:t>Monitor and prescribe according to speciality guidelines until handover is appropriate, a minimum of 6 weeks (including when dose changes are</w:t>
      </w:r>
      <w:r>
        <w:rPr>
          <w:spacing w:val="-2"/>
          <w:sz w:val="22"/>
        </w:rPr>
        <w:t> </w:t>
      </w:r>
      <w:r>
        <w:rPr>
          <w:sz w:val="22"/>
        </w:rPr>
        <w:t>made).</w:t>
      </w:r>
    </w:p>
    <w:p>
      <w:pPr>
        <w:pStyle w:val="ListParagraph"/>
        <w:numPr>
          <w:ilvl w:val="0"/>
          <w:numId w:val="9"/>
        </w:numPr>
        <w:tabs>
          <w:tab w:pos="779" w:val="left" w:leader="none"/>
          <w:tab w:pos="780" w:val="left" w:leader="none"/>
        </w:tabs>
        <w:spacing w:line="279" w:lineRule="exact" w:before="1" w:after="0"/>
        <w:ind w:left="780" w:right="0" w:hanging="360"/>
        <w:jc w:val="left"/>
        <w:rPr>
          <w:sz w:val="22"/>
        </w:rPr>
      </w:pPr>
      <w:r>
        <w:rPr>
          <w:sz w:val="22"/>
        </w:rPr>
        <w:t>Provide patient with hand-held information on mycophenolate, and explain ongoing monitoring</w:t>
      </w:r>
      <w:r>
        <w:rPr>
          <w:spacing w:val="-18"/>
          <w:sz w:val="22"/>
        </w:rPr>
        <w:t> </w:t>
      </w:r>
      <w:r>
        <w:rPr>
          <w:sz w:val="22"/>
        </w:rPr>
        <w:t>requirements</w:t>
      </w:r>
    </w:p>
    <w:p>
      <w:pPr>
        <w:pStyle w:val="ListParagraph"/>
        <w:numPr>
          <w:ilvl w:val="0"/>
          <w:numId w:val="9"/>
        </w:numPr>
        <w:tabs>
          <w:tab w:pos="779" w:val="left" w:leader="none"/>
          <w:tab w:pos="780" w:val="left" w:leader="none"/>
        </w:tabs>
        <w:spacing w:line="240" w:lineRule="auto" w:before="0" w:after="0"/>
        <w:ind w:left="780" w:right="841" w:hanging="360"/>
        <w:jc w:val="left"/>
        <w:rPr>
          <w:sz w:val="22"/>
        </w:rPr>
      </w:pPr>
      <w:r>
        <w:rPr>
          <w:sz w:val="22"/>
        </w:rPr>
        <w:t>Review efficacy of treatment at regular intervals and ensure drug treatment changes are communicated to the patient and GP. This will include at least an annual review whilst on</w:t>
      </w:r>
      <w:r>
        <w:rPr>
          <w:spacing w:val="-12"/>
          <w:sz w:val="22"/>
        </w:rPr>
        <w:t> </w:t>
      </w:r>
      <w:r>
        <w:rPr>
          <w:sz w:val="22"/>
        </w:rPr>
        <w:t>treatment.</w:t>
      </w:r>
    </w:p>
    <w:p>
      <w:pPr>
        <w:pStyle w:val="ListParagraph"/>
        <w:numPr>
          <w:ilvl w:val="0"/>
          <w:numId w:val="9"/>
        </w:numPr>
        <w:tabs>
          <w:tab w:pos="779" w:val="left" w:leader="none"/>
          <w:tab w:pos="780" w:val="left" w:leader="none"/>
        </w:tabs>
        <w:spacing w:line="240" w:lineRule="auto" w:before="0" w:after="0"/>
        <w:ind w:left="780" w:right="0" w:hanging="360"/>
        <w:jc w:val="left"/>
        <w:rPr>
          <w:sz w:val="22"/>
        </w:rPr>
      </w:pPr>
      <w:r>
        <w:rPr>
          <w:sz w:val="22"/>
        </w:rPr>
        <w:t>Report any adverse events to the MHRA and</w:t>
      </w:r>
      <w:r>
        <w:rPr>
          <w:spacing w:val="-12"/>
          <w:sz w:val="22"/>
        </w:rPr>
        <w:t> </w:t>
      </w:r>
      <w:r>
        <w:rPr>
          <w:sz w:val="22"/>
        </w:rPr>
        <w:t>GP.</w:t>
      </w:r>
    </w:p>
    <w:p>
      <w:pPr>
        <w:pStyle w:val="ListParagraph"/>
        <w:numPr>
          <w:ilvl w:val="0"/>
          <w:numId w:val="9"/>
        </w:numPr>
        <w:tabs>
          <w:tab w:pos="779" w:val="left" w:leader="none"/>
          <w:tab w:pos="780" w:val="left" w:leader="none"/>
        </w:tabs>
        <w:spacing w:line="240" w:lineRule="auto" w:before="0" w:after="0"/>
        <w:ind w:left="780" w:right="905" w:hanging="360"/>
        <w:jc w:val="left"/>
        <w:rPr>
          <w:sz w:val="22"/>
        </w:rPr>
      </w:pPr>
      <w:r>
        <w:rPr>
          <w:sz w:val="22"/>
        </w:rPr>
        <w:t>Dose increases should be monitored by FBC, creatinine/ calculated GFR, ALT and / or AST and albumin every 2 weeks until on stable dose for 6 weeks then revert back to previous</w:t>
      </w:r>
      <w:r>
        <w:rPr>
          <w:spacing w:val="-10"/>
          <w:sz w:val="22"/>
        </w:rPr>
        <w:t> </w:t>
      </w:r>
      <w:r>
        <w:rPr>
          <w:sz w:val="22"/>
        </w:rPr>
        <w:t>schedule.</w:t>
      </w:r>
    </w:p>
    <w:p>
      <w:pPr>
        <w:pStyle w:val="BodyText"/>
        <w:spacing w:before="11"/>
        <w:rPr>
          <w:sz w:val="21"/>
        </w:rPr>
      </w:pPr>
    </w:p>
    <w:p>
      <w:pPr>
        <w:pStyle w:val="BodyText"/>
        <w:ind w:left="420" w:right="620"/>
      </w:pPr>
      <w:r>
        <w:rPr/>
        <w:t>Note: this shared care guideline applies to several different specialities and pre prescribing checks will vary according to local practice. GP will be informed of any relevant findings.</w:t>
      </w:r>
    </w:p>
    <w:p>
      <w:pPr>
        <w:pStyle w:val="BodyText"/>
        <w:spacing w:before="1"/>
      </w:pPr>
    </w:p>
    <w:p>
      <w:pPr>
        <w:pStyle w:val="Heading3"/>
      </w:pPr>
      <w:r>
        <w:rPr/>
        <w:t>Primary care prescriber responsibilities:</w:t>
      </w:r>
    </w:p>
    <w:p>
      <w:pPr>
        <w:pStyle w:val="ListParagraph"/>
        <w:numPr>
          <w:ilvl w:val="0"/>
          <w:numId w:val="9"/>
        </w:numPr>
        <w:tabs>
          <w:tab w:pos="779" w:val="left" w:leader="none"/>
          <w:tab w:pos="780" w:val="left" w:leader="none"/>
        </w:tabs>
        <w:spacing w:line="240" w:lineRule="auto" w:before="1" w:after="0"/>
        <w:ind w:left="780" w:right="0" w:hanging="360"/>
        <w:jc w:val="left"/>
        <w:rPr>
          <w:sz w:val="22"/>
        </w:rPr>
      </w:pPr>
      <w:r>
        <w:rPr>
          <w:sz w:val="22"/>
        </w:rPr>
        <w:t>Subsequent prescribing of mycophenolate at the dose</w:t>
      </w:r>
      <w:r>
        <w:rPr>
          <w:spacing w:val="-12"/>
          <w:sz w:val="22"/>
        </w:rPr>
        <w:t> </w:t>
      </w:r>
      <w:r>
        <w:rPr>
          <w:sz w:val="22"/>
        </w:rPr>
        <w:t>recommended.</w:t>
      </w:r>
    </w:p>
    <w:p>
      <w:pPr>
        <w:pStyle w:val="ListParagraph"/>
        <w:numPr>
          <w:ilvl w:val="0"/>
          <w:numId w:val="9"/>
        </w:numPr>
        <w:tabs>
          <w:tab w:pos="779" w:val="left" w:leader="none"/>
          <w:tab w:pos="780" w:val="left" w:leader="none"/>
        </w:tabs>
        <w:spacing w:line="240" w:lineRule="auto" w:before="0" w:after="0"/>
        <w:ind w:left="780" w:right="632" w:hanging="360"/>
        <w:jc w:val="left"/>
        <w:rPr>
          <w:sz w:val="22"/>
        </w:rPr>
      </w:pPr>
      <w:r>
        <w:rPr>
          <w:sz w:val="22"/>
        </w:rPr>
        <w:t>In static doses, monitoring of FBC, creatinine/ calculated GFR, ALT, and / or AST and albumin at monthly intervals from handover to end of 3 months, and 3 monthly</w:t>
      </w:r>
      <w:r>
        <w:rPr>
          <w:spacing w:val="-17"/>
          <w:sz w:val="22"/>
        </w:rPr>
        <w:t> </w:t>
      </w:r>
      <w:r>
        <w:rPr>
          <w:sz w:val="22"/>
        </w:rPr>
        <w:t>thereafter.</w:t>
      </w:r>
    </w:p>
    <w:p>
      <w:pPr>
        <w:pStyle w:val="ListParagraph"/>
        <w:numPr>
          <w:ilvl w:val="0"/>
          <w:numId w:val="9"/>
        </w:numPr>
        <w:tabs>
          <w:tab w:pos="779" w:val="left" w:leader="none"/>
          <w:tab w:pos="780" w:val="left" w:leader="none"/>
        </w:tabs>
        <w:spacing w:line="279" w:lineRule="exact" w:before="1" w:after="0"/>
        <w:ind w:left="780" w:right="0" w:hanging="360"/>
        <w:jc w:val="left"/>
        <w:rPr>
          <w:sz w:val="22"/>
        </w:rPr>
      </w:pPr>
      <w:r>
        <w:rPr>
          <w:sz w:val="22"/>
        </w:rPr>
        <w:t>Monitor for adverse effects throughout treatment and check for drug interaction on initiating new</w:t>
      </w:r>
      <w:r>
        <w:rPr>
          <w:spacing w:val="-23"/>
          <w:sz w:val="22"/>
        </w:rPr>
        <w:t> </w:t>
      </w:r>
      <w:r>
        <w:rPr>
          <w:sz w:val="22"/>
        </w:rPr>
        <w:t>treatments.</w:t>
      </w:r>
    </w:p>
    <w:p>
      <w:pPr>
        <w:pStyle w:val="ListParagraph"/>
        <w:numPr>
          <w:ilvl w:val="0"/>
          <w:numId w:val="9"/>
        </w:numPr>
        <w:tabs>
          <w:tab w:pos="779" w:val="left" w:leader="none"/>
          <w:tab w:pos="780" w:val="left" w:leader="none"/>
        </w:tabs>
        <w:spacing w:line="279" w:lineRule="exact" w:before="0" w:after="0"/>
        <w:ind w:left="780" w:right="0" w:hanging="360"/>
        <w:jc w:val="left"/>
        <w:rPr>
          <w:sz w:val="22"/>
        </w:rPr>
      </w:pPr>
      <w:r>
        <w:rPr>
          <w:sz w:val="22"/>
        </w:rPr>
        <w:t>Provide patient with pneumococcal polysaccharide vaccine and flu vaccination unless</w:t>
      </w:r>
      <w:r>
        <w:rPr>
          <w:spacing w:val="-11"/>
          <w:sz w:val="22"/>
        </w:rPr>
        <w:t> </w:t>
      </w:r>
      <w:r>
        <w:rPr>
          <w:sz w:val="22"/>
        </w:rPr>
        <w:t>contra-indicated.</w:t>
      </w:r>
    </w:p>
    <w:p>
      <w:pPr>
        <w:pStyle w:val="ListParagraph"/>
        <w:numPr>
          <w:ilvl w:val="0"/>
          <w:numId w:val="9"/>
        </w:numPr>
        <w:tabs>
          <w:tab w:pos="779" w:val="left" w:leader="none"/>
          <w:tab w:pos="780" w:val="left" w:leader="none"/>
        </w:tabs>
        <w:spacing w:line="240" w:lineRule="auto" w:before="0" w:after="0"/>
        <w:ind w:left="780" w:right="0" w:hanging="360"/>
        <w:jc w:val="left"/>
        <w:rPr>
          <w:sz w:val="22"/>
        </w:rPr>
      </w:pPr>
      <w:r>
        <w:rPr>
          <w:sz w:val="22"/>
        </w:rPr>
        <w:t>Perform an urgent FBC on any patient on mycophenolate who becomes unwell to check for</w:t>
      </w:r>
      <w:r>
        <w:rPr>
          <w:spacing w:val="-21"/>
          <w:sz w:val="22"/>
        </w:rPr>
        <w:t> </w:t>
      </w:r>
      <w:r>
        <w:rPr>
          <w:sz w:val="22"/>
        </w:rPr>
        <w:t>myelosuppression.</w:t>
      </w:r>
    </w:p>
    <w:p>
      <w:pPr>
        <w:pStyle w:val="ListParagraph"/>
        <w:numPr>
          <w:ilvl w:val="0"/>
          <w:numId w:val="9"/>
        </w:numPr>
        <w:tabs>
          <w:tab w:pos="779" w:val="left" w:leader="none"/>
          <w:tab w:pos="780" w:val="left" w:leader="none"/>
        </w:tabs>
        <w:spacing w:line="240" w:lineRule="auto" w:before="1" w:after="0"/>
        <w:ind w:left="780" w:right="1190" w:hanging="360"/>
        <w:jc w:val="left"/>
        <w:rPr>
          <w:sz w:val="22"/>
        </w:rPr>
      </w:pPr>
      <w:r>
        <w:rPr>
          <w:sz w:val="22"/>
        </w:rPr>
        <w:t>If shared care is declined, the practice should inform the named consultant within 14 days of receipt of the request</w:t>
      </w:r>
    </w:p>
    <w:p>
      <w:pPr>
        <w:pStyle w:val="ListParagraph"/>
        <w:numPr>
          <w:ilvl w:val="0"/>
          <w:numId w:val="9"/>
        </w:numPr>
        <w:tabs>
          <w:tab w:pos="779" w:val="left" w:leader="none"/>
          <w:tab w:pos="780" w:val="left" w:leader="none"/>
        </w:tabs>
        <w:spacing w:line="240" w:lineRule="auto" w:before="1" w:after="0"/>
        <w:ind w:left="780" w:right="0" w:hanging="360"/>
        <w:jc w:val="left"/>
        <w:rPr>
          <w:sz w:val="22"/>
        </w:rPr>
      </w:pPr>
      <w:r>
        <w:rPr>
          <w:sz w:val="22"/>
        </w:rPr>
        <w:t>Report any adverse events to the MHRA and specialist</w:t>
      </w:r>
      <w:r>
        <w:rPr>
          <w:spacing w:val="-14"/>
          <w:sz w:val="22"/>
        </w:rPr>
        <w:t> </w:t>
      </w:r>
      <w:r>
        <w:rPr>
          <w:sz w:val="22"/>
        </w:rPr>
        <w:t>team.</w:t>
      </w:r>
    </w:p>
    <w:p>
      <w:pPr>
        <w:pStyle w:val="BodyText"/>
        <w:spacing w:before="10"/>
        <w:rPr>
          <w:sz w:val="21"/>
        </w:rPr>
      </w:pPr>
    </w:p>
    <w:p>
      <w:pPr>
        <w:pStyle w:val="Heading3"/>
      </w:pPr>
      <w:r>
        <w:rPr/>
        <w:t>Patient’s/Carer’s role – these will be explained to the patient by the specialist team on initiation</w:t>
      </w:r>
    </w:p>
    <w:p>
      <w:pPr>
        <w:pStyle w:val="ListParagraph"/>
        <w:numPr>
          <w:ilvl w:val="0"/>
          <w:numId w:val="9"/>
        </w:numPr>
        <w:tabs>
          <w:tab w:pos="779" w:val="left" w:leader="none"/>
          <w:tab w:pos="780" w:val="left" w:leader="none"/>
        </w:tabs>
        <w:spacing w:line="240" w:lineRule="auto" w:before="1" w:after="0"/>
        <w:ind w:left="780" w:right="1740" w:hanging="360"/>
        <w:jc w:val="left"/>
        <w:rPr>
          <w:sz w:val="22"/>
        </w:rPr>
      </w:pPr>
      <w:r>
        <w:rPr>
          <w:sz w:val="22"/>
        </w:rPr>
        <w:t>Ask the specialist or primary care prescriber for information, if any aspects of treatment are not fully understood.</w:t>
      </w:r>
    </w:p>
    <w:p>
      <w:pPr>
        <w:pStyle w:val="ListParagraph"/>
        <w:numPr>
          <w:ilvl w:val="0"/>
          <w:numId w:val="9"/>
        </w:numPr>
        <w:tabs>
          <w:tab w:pos="779" w:val="left" w:leader="none"/>
          <w:tab w:pos="780" w:val="left" w:leader="none"/>
        </w:tabs>
        <w:spacing w:line="240" w:lineRule="auto" w:before="1" w:after="0"/>
        <w:ind w:left="780" w:right="997" w:hanging="360"/>
        <w:jc w:val="left"/>
        <w:rPr>
          <w:sz w:val="22"/>
        </w:rPr>
      </w:pPr>
      <w:r>
        <w:rPr>
          <w:sz w:val="22"/>
        </w:rPr>
        <w:t>Tell the specialist or primary care prescriber of any other medication being taken, including over-the-counter products.</w:t>
      </w:r>
    </w:p>
    <w:p>
      <w:pPr>
        <w:pStyle w:val="ListParagraph"/>
        <w:numPr>
          <w:ilvl w:val="0"/>
          <w:numId w:val="9"/>
        </w:numPr>
        <w:tabs>
          <w:tab w:pos="779" w:val="left" w:leader="none"/>
          <w:tab w:pos="780" w:val="left" w:leader="none"/>
        </w:tabs>
        <w:spacing w:line="240" w:lineRule="auto" w:before="0" w:after="0"/>
        <w:ind w:left="780" w:right="704" w:hanging="360"/>
        <w:jc w:val="left"/>
        <w:rPr>
          <w:sz w:val="22"/>
        </w:rPr>
      </w:pPr>
      <w:r>
        <w:rPr>
          <w:sz w:val="22"/>
        </w:rPr>
        <w:t>Read the patient information leaflet included with the medication and report any side effects or concerns to the specialist or primary care</w:t>
      </w:r>
      <w:r>
        <w:rPr>
          <w:spacing w:val="-4"/>
          <w:sz w:val="22"/>
        </w:rPr>
        <w:t> </w:t>
      </w:r>
      <w:r>
        <w:rPr>
          <w:sz w:val="22"/>
        </w:rPr>
        <w:t>prescriber.</w:t>
      </w:r>
    </w:p>
    <w:p>
      <w:pPr>
        <w:pStyle w:val="ListParagraph"/>
        <w:numPr>
          <w:ilvl w:val="0"/>
          <w:numId w:val="9"/>
        </w:numPr>
        <w:tabs>
          <w:tab w:pos="779" w:val="left" w:leader="none"/>
          <w:tab w:pos="780" w:val="left" w:leader="none"/>
        </w:tabs>
        <w:spacing w:line="240" w:lineRule="auto" w:before="0" w:after="0"/>
        <w:ind w:left="780" w:right="806" w:hanging="360"/>
        <w:jc w:val="left"/>
        <w:rPr>
          <w:sz w:val="22"/>
        </w:rPr>
      </w:pPr>
      <w:r>
        <w:rPr>
          <w:sz w:val="22"/>
        </w:rPr>
        <w:t>Be aware of monitoring requirements, book blood test appointments with the GP and attend when required to do so.</w:t>
      </w:r>
    </w:p>
    <w:p>
      <w:pPr>
        <w:pStyle w:val="BodyText"/>
        <w:ind w:left="420" w:right="620"/>
      </w:pPr>
      <w:r>
        <w:rPr/>
        <w:t>Note: this shared care guideline applies to several different specialities and pre prescribing checks will vary according to local practice. GP will be informed of any specific additional requirements.</w:t>
      </w:r>
    </w:p>
    <w:p>
      <w:pPr>
        <w:spacing w:after="0"/>
        <w:sectPr>
          <w:pgSz w:w="11910" w:h="16840"/>
          <w:pgMar w:header="541" w:footer="1020" w:top="1600" w:bottom="1200" w:left="300" w:right="100"/>
        </w:sectPr>
      </w:pPr>
    </w:p>
    <w:p>
      <w:pPr>
        <w:pStyle w:val="BodyText"/>
        <w:rPr>
          <w:rFonts w:ascii="Times New Roman"/>
          <w:sz w:val="20"/>
        </w:rPr>
      </w:pPr>
      <w:r>
        <w:rPr/>
        <w:pict>
          <v:group style="position:absolute;margin-left:30.35998pt;margin-top:123.019966pt;width:534.7pt;height:317.95pt;mso-position-horizontal-relative:page;mso-position-vertical-relative:page;z-index:-19216" coordorigin="607,2460" coordsize="10694,6359">
            <v:line style="position:absolute" from="668,2470" to="668,2739" stroked="true" strokeweight="5.16pt" strokecolor="#8db3e1">
              <v:stroke dashstyle="solid"/>
            </v:line>
            <v:line style="position:absolute" from="11240,2470" to="11240,2739" stroked="true" strokeweight="5.16pt" strokecolor="#8db3e1">
              <v:stroke dashstyle="solid"/>
            </v:line>
            <v:rect style="position:absolute;left:720;top:2470;width:10469;height:269" filled="true" fillcolor="#8db3e1" stroked="false">
              <v:fill type="solid"/>
            </v:rect>
            <v:line style="position:absolute" from="617,2744" to="11292,2744" stroked="true" strokeweight=".48pt" strokecolor="#000000">
              <v:stroke dashstyle="solid"/>
            </v:line>
            <v:line style="position:absolute" from="612,2460" to="612,8819" stroked="true" strokeweight=".48pt" strokecolor="#000000">
              <v:stroke dashstyle="solid"/>
            </v:line>
            <v:line style="position:absolute" from="617,8814" to="11292,8814" stroked="true" strokeweight=".48001pt" strokecolor="#000000">
              <v:stroke dashstyle="solid"/>
            </v:line>
            <v:line style="position:absolute" from="11296,2460" to="11296,8819" stroked="true" strokeweight=".48004pt" strokecolor="#000000">
              <v:stroke dashstyle="solid"/>
            </v:line>
            <v:shape style="position:absolute;left:720;top:8312;width:9896;height:490" type="#_x0000_t202" filled="false" stroked="false">
              <v:textbox inset="0,0,0,0">
                <w:txbxContent>
                  <w:p>
                    <w:pPr>
                      <w:spacing w:line="225" w:lineRule="exact" w:before="0"/>
                      <w:ind w:left="0" w:right="0" w:firstLine="0"/>
                      <w:jc w:val="left"/>
                      <w:rPr>
                        <w:sz w:val="22"/>
                      </w:rPr>
                    </w:pPr>
                    <w:r>
                      <w:rPr>
                        <w:sz w:val="22"/>
                      </w:rPr>
                      <w:t>Dose reduction required in CKD stage 4 or 5, discuss with specialist service.</w:t>
                    </w:r>
                  </w:p>
                  <w:p>
                    <w:pPr>
                      <w:spacing w:line="265" w:lineRule="exact" w:before="0"/>
                      <w:ind w:left="0" w:right="0" w:firstLine="0"/>
                      <w:jc w:val="left"/>
                      <w:rPr>
                        <w:sz w:val="22"/>
                      </w:rPr>
                    </w:pPr>
                    <w:r>
                      <w:rPr>
                        <w:sz w:val="22"/>
                      </w:rPr>
                      <w:t>This list is not exhaustive; refer to the Summary of Product Characteristics (SMPC) or BNF for further guidance.</w:t>
                    </w:r>
                  </w:p>
                </w:txbxContent>
              </v:textbox>
              <w10:wrap type="none"/>
            </v:shape>
            <v:shape style="position:absolute;left:720;top:5746;width:9448;height:759" type="#_x0000_t202" filled="false" stroked="false">
              <v:textbox inset="0,0,0,0">
                <w:txbxContent>
                  <w:p>
                    <w:pPr>
                      <w:spacing w:line="225" w:lineRule="exact" w:before="0"/>
                      <w:ind w:left="0" w:right="0" w:firstLine="0"/>
                      <w:jc w:val="left"/>
                      <w:rPr>
                        <w:sz w:val="22"/>
                      </w:rPr>
                    </w:pPr>
                    <w:r>
                      <w:rPr>
                        <w:sz w:val="22"/>
                      </w:rPr>
                      <w:t>More frequent monitoring is appropriate in patients at higher risk of toxicity.</w:t>
                    </w:r>
                  </w:p>
                  <w:p>
                    <w:pPr>
                      <w:spacing w:line="240" w:lineRule="auto" w:before="4"/>
                      <w:rPr>
                        <w:rFonts w:ascii="Times New Roman"/>
                        <w:sz w:val="23"/>
                      </w:rPr>
                    </w:pPr>
                  </w:p>
                  <w:p>
                    <w:pPr>
                      <w:spacing w:line="265" w:lineRule="exact" w:before="0"/>
                      <w:ind w:left="0" w:right="0" w:firstLine="0"/>
                      <w:jc w:val="left"/>
                      <w:rPr>
                        <w:b/>
                        <w:sz w:val="22"/>
                      </w:rPr>
                    </w:pPr>
                    <w:r>
                      <w:rPr>
                        <w:b/>
                        <w:sz w:val="22"/>
                      </w:rPr>
                      <w:t>Contact specialist team urgently and consider interruption in treatment if any of the following develop:</w:t>
                    </w:r>
                  </w:p>
                </w:txbxContent>
              </v:textbox>
              <w10:wrap type="none"/>
            </v:shape>
            <v:shape style="position:absolute;left:720;top:2789;width:1914;height:221" type="#_x0000_t202" filled="false" stroked="false">
              <v:textbox inset="0,0,0,0">
                <w:txbxContent>
                  <w:p>
                    <w:pPr>
                      <w:spacing w:line="221" w:lineRule="exact" w:before="0"/>
                      <w:ind w:left="0" w:right="0" w:firstLine="0"/>
                      <w:jc w:val="left"/>
                      <w:rPr>
                        <w:b/>
                        <w:sz w:val="22"/>
                      </w:rPr>
                    </w:pPr>
                    <w:r>
                      <w:rPr>
                        <w:b/>
                        <w:sz w:val="22"/>
                      </w:rPr>
                      <w:t>Monitoring schedule</w:t>
                    </w:r>
                  </w:p>
                </w:txbxContent>
              </v:textbox>
              <w10:wrap type="none"/>
            </v:shape>
            <v:shape style="position:absolute;left:612;top:2465;width:10685;height:279" type="#_x0000_t202" filled="true" fillcolor="#8db3e1" stroked="true" strokeweight=".48004pt" strokecolor="#000000">
              <v:textbox inset="0,0,0,0">
                <w:txbxContent>
                  <w:p>
                    <w:pPr>
                      <w:spacing w:line="265" w:lineRule="exact" w:before="0"/>
                      <w:ind w:left="3926" w:right="3927" w:firstLine="0"/>
                      <w:jc w:val="center"/>
                      <w:rPr>
                        <w:b/>
                        <w:sz w:val="22"/>
                      </w:rPr>
                    </w:pPr>
                    <w:r>
                      <w:rPr>
                        <w:b/>
                        <w:sz w:val="22"/>
                      </w:rPr>
                      <w:t>MONITORING</w:t>
                    </w:r>
                    <w:r>
                      <w:rPr>
                        <w:b/>
                        <w:spacing w:val="-1"/>
                        <w:sz w:val="22"/>
                      </w:rPr>
                      <w:t> </w:t>
                    </w:r>
                    <w:r>
                      <w:rPr>
                        <w:b/>
                        <w:sz w:val="22"/>
                      </w:rPr>
                      <w:t>REQUIREMENTS</w:t>
                    </w:r>
                  </w:p>
                </w:txbxContent>
              </v:textbox>
              <v:fill type="solid"/>
              <v:stroke dashstyle="solid"/>
              <w10:wrap type="none"/>
            </v:shape>
            <w10:wrap type="none"/>
          </v:group>
        </w:pict>
      </w:r>
      <w:r>
        <w:rPr/>
        <w:pict>
          <v:shape style="position:absolute;margin-left:30.6pt;margin-top:454.609985pt;width:534.25pt;height:13.95pt;mso-position-horizontal-relative:page;mso-position-vertical-relative:page;z-index:1240" type="#_x0000_t202" filled="true" fillcolor="#8db3e1" stroked="true" strokeweight=".48004pt" strokecolor="#000000">
            <v:textbox inset="0,0,0,0">
              <w:txbxContent>
                <w:p>
                  <w:pPr>
                    <w:spacing w:line="265" w:lineRule="exact" w:before="0"/>
                    <w:ind w:left="3926" w:right="3927" w:firstLine="0"/>
                    <w:jc w:val="center"/>
                    <w:rPr>
                      <w:b/>
                      <w:sz w:val="22"/>
                    </w:rPr>
                  </w:pPr>
                  <w:r>
                    <w:rPr>
                      <w:b/>
                      <w:sz w:val="22"/>
                    </w:rPr>
                    <w:t>OTHER WARNING</w:t>
                  </w:r>
                  <w:r>
                    <w:rPr>
                      <w:b/>
                      <w:spacing w:val="-3"/>
                      <w:sz w:val="22"/>
                    </w:rPr>
                    <w:t> </w:t>
                  </w:r>
                  <w:r>
                    <w:rPr>
                      <w:b/>
                      <w:sz w:val="22"/>
                    </w:rPr>
                    <w:t>SIGNS</w:t>
                  </w:r>
                </w:p>
              </w:txbxContent>
            </v:textbox>
            <v:fill type="solid"/>
            <v:stroke dashstyle="solid"/>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362"/>
        <w:gridCol w:w="2461"/>
      </w:tblGrid>
      <w:tr>
        <w:trPr>
          <w:trHeight w:val="299" w:hRule="atLeast"/>
        </w:trPr>
        <w:tc>
          <w:tcPr>
            <w:tcW w:w="2000" w:type="dxa"/>
            <w:shd w:val="clear" w:color="auto" w:fill="B8CCE3"/>
          </w:tcPr>
          <w:p>
            <w:pPr>
              <w:pStyle w:val="TableParagraph"/>
              <w:spacing w:line="211" w:lineRule="exact" w:before="69"/>
              <w:ind w:left="107"/>
              <w:rPr>
                <w:rFonts w:ascii="Arial"/>
                <w:sz w:val="20"/>
              </w:rPr>
            </w:pPr>
            <w:r>
              <w:rPr>
                <w:rFonts w:ascii="Arial"/>
                <w:sz w:val="20"/>
              </w:rPr>
              <w:t>Test</w:t>
            </w:r>
          </w:p>
        </w:tc>
        <w:tc>
          <w:tcPr>
            <w:tcW w:w="3823" w:type="dxa"/>
            <w:gridSpan w:val="2"/>
            <w:shd w:val="clear" w:color="auto" w:fill="B8CCE3"/>
          </w:tcPr>
          <w:p>
            <w:pPr>
              <w:pStyle w:val="TableParagraph"/>
              <w:tabs>
                <w:tab w:pos="1468" w:val="left" w:leader="none"/>
              </w:tabs>
              <w:spacing w:line="211" w:lineRule="exact" w:before="69"/>
              <w:ind w:left="107"/>
              <w:rPr>
                <w:rFonts w:ascii="Arial"/>
                <w:sz w:val="20"/>
              </w:rPr>
            </w:pPr>
            <w:r>
              <w:rPr>
                <w:rFonts w:ascii="Arial"/>
                <w:sz w:val="20"/>
              </w:rPr>
              <w:t>Frequency</w:t>
              <w:tab/>
              <w:t>Duration</w:t>
            </w:r>
          </w:p>
        </w:tc>
      </w:tr>
      <w:tr>
        <w:trPr>
          <w:trHeight w:val="690" w:hRule="atLeast"/>
        </w:trPr>
        <w:tc>
          <w:tcPr>
            <w:tcW w:w="2000" w:type="dxa"/>
            <w:vMerge w:val="restart"/>
          </w:tcPr>
          <w:p>
            <w:pPr>
              <w:pStyle w:val="TableParagraph"/>
              <w:rPr>
                <w:rFonts w:ascii="Times New Roman"/>
                <w:sz w:val="22"/>
              </w:rPr>
            </w:pPr>
          </w:p>
          <w:p>
            <w:pPr>
              <w:pStyle w:val="TableParagraph"/>
              <w:spacing w:before="9"/>
              <w:rPr>
                <w:rFonts w:ascii="Times New Roman"/>
                <w:sz w:val="17"/>
              </w:rPr>
            </w:pPr>
          </w:p>
          <w:p>
            <w:pPr>
              <w:pStyle w:val="TableParagraph"/>
              <w:ind w:left="107"/>
              <w:rPr>
                <w:rFonts w:ascii="Arial"/>
                <w:sz w:val="20"/>
              </w:rPr>
            </w:pPr>
            <w:r>
              <w:rPr>
                <w:rFonts w:ascii="Arial"/>
                <w:sz w:val="20"/>
              </w:rPr>
              <w:t>FBC</w:t>
            </w:r>
          </w:p>
          <w:p>
            <w:pPr>
              <w:pStyle w:val="TableParagraph"/>
              <w:spacing w:before="60"/>
              <w:ind w:left="107" w:right="35"/>
              <w:rPr>
                <w:rFonts w:ascii="Arial"/>
                <w:sz w:val="20"/>
              </w:rPr>
            </w:pPr>
            <w:r>
              <w:rPr>
                <w:rFonts w:ascii="Arial"/>
                <w:sz w:val="20"/>
              </w:rPr>
              <w:t>Creatinine/ calculated GFR</w:t>
            </w:r>
          </w:p>
          <w:p>
            <w:pPr>
              <w:pStyle w:val="TableParagraph"/>
              <w:spacing w:line="300" w:lineRule="atLeast" w:before="10"/>
              <w:ind w:left="107"/>
              <w:rPr>
                <w:rFonts w:ascii="Arial"/>
                <w:sz w:val="20"/>
              </w:rPr>
            </w:pPr>
            <w:r>
              <w:rPr>
                <w:rFonts w:ascii="Arial"/>
                <w:sz w:val="20"/>
              </w:rPr>
              <w:t>ALT and / or AST Albumin</w:t>
            </w:r>
          </w:p>
        </w:tc>
        <w:tc>
          <w:tcPr>
            <w:tcW w:w="1362" w:type="dxa"/>
          </w:tcPr>
          <w:p>
            <w:pPr>
              <w:pStyle w:val="TableParagraph"/>
              <w:spacing w:before="8"/>
              <w:rPr>
                <w:rFonts w:ascii="Times New Roman"/>
                <w:sz w:val="19"/>
              </w:rPr>
            </w:pPr>
          </w:p>
          <w:p>
            <w:pPr>
              <w:pStyle w:val="TableParagraph"/>
              <w:spacing w:line="230" w:lineRule="atLeast" w:before="1"/>
              <w:ind w:left="107" w:right="546"/>
              <w:rPr>
                <w:rFonts w:ascii="Arial"/>
                <w:sz w:val="20"/>
              </w:rPr>
            </w:pPr>
            <w:r>
              <w:rPr>
                <w:rFonts w:ascii="Arial"/>
                <w:sz w:val="20"/>
              </w:rPr>
              <w:t>Every 2 weeks</w:t>
            </w:r>
          </w:p>
        </w:tc>
        <w:tc>
          <w:tcPr>
            <w:tcW w:w="2461" w:type="dxa"/>
          </w:tcPr>
          <w:p>
            <w:pPr>
              <w:pStyle w:val="TableParagraph"/>
              <w:ind w:left="106" w:right="97"/>
              <w:rPr>
                <w:rFonts w:ascii="Arial"/>
                <w:sz w:val="20"/>
              </w:rPr>
            </w:pPr>
            <w:r>
              <w:rPr>
                <w:rFonts w:ascii="Arial"/>
                <w:sz w:val="20"/>
              </w:rPr>
              <w:t>For first three months until on stable dose for 6</w:t>
            </w:r>
          </w:p>
          <w:p>
            <w:pPr>
              <w:pStyle w:val="TableParagraph"/>
              <w:spacing w:line="211" w:lineRule="exact"/>
              <w:ind w:left="106"/>
              <w:rPr>
                <w:rFonts w:ascii="Arial"/>
                <w:sz w:val="20"/>
              </w:rPr>
            </w:pPr>
            <w:r>
              <w:rPr>
                <w:rFonts w:ascii="Arial"/>
                <w:sz w:val="20"/>
              </w:rPr>
              <w:t>weeks</w:t>
            </w:r>
          </w:p>
        </w:tc>
      </w:tr>
      <w:tr>
        <w:trPr>
          <w:trHeight w:val="510" w:hRule="atLeast"/>
        </w:trPr>
        <w:tc>
          <w:tcPr>
            <w:tcW w:w="2000" w:type="dxa"/>
            <w:vMerge/>
            <w:tcBorders>
              <w:top w:val="nil"/>
            </w:tcBorders>
          </w:tcPr>
          <w:p>
            <w:pPr>
              <w:rPr>
                <w:sz w:val="2"/>
                <w:szCs w:val="2"/>
              </w:rPr>
            </w:pPr>
          </w:p>
        </w:tc>
        <w:tc>
          <w:tcPr>
            <w:tcW w:w="1362" w:type="dxa"/>
          </w:tcPr>
          <w:p>
            <w:pPr>
              <w:pStyle w:val="TableParagraph"/>
              <w:spacing w:before="1"/>
              <w:rPr>
                <w:rFonts w:ascii="Times New Roman"/>
                <w:sz w:val="24"/>
              </w:rPr>
            </w:pPr>
          </w:p>
          <w:p>
            <w:pPr>
              <w:pStyle w:val="TableParagraph"/>
              <w:spacing w:line="213" w:lineRule="exact" w:before="1"/>
              <w:ind w:left="107"/>
              <w:rPr>
                <w:rFonts w:ascii="Arial"/>
                <w:sz w:val="20"/>
              </w:rPr>
            </w:pPr>
            <w:r>
              <w:rPr>
                <w:rFonts w:ascii="Arial"/>
                <w:sz w:val="20"/>
              </w:rPr>
              <w:t>Monthly</w:t>
            </w:r>
          </w:p>
        </w:tc>
        <w:tc>
          <w:tcPr>
            <w:tcW w:w="2461" w:type="dxa"/>
          </w:tcPr>
          <w:p>
            <w:pPr>
              <w:pStyle w:val="TableParagraph"/>
              <w:spacing w:before="1"/>
              <w:rPr>
                <w:rFonts w:ascii="Times New Roman"/>
                <w:sz w:val="24"/>
              </w:rPr>
            </w:pPr>
          </w:p>
          <w:p>
            <w:pPr>
              <w:pStyle w:val="TableParagraph"/>
              <w:spacing w:line="213" w:lineRule="exact" w:before="1"/>
              <w:ind w:left="106"/>
              <w:rPr>
                <w:rFonts w:ascii="Arial"/>
                <w:sz w:val="20"/>
              </w:rPr>
            </w:pPr>
            <w:r>
              <w:rPr>
                <w:rFonts w:ascii="Arial"/>
                <w:sz w:val="20"/>
              </w:rPr>
              <w:t>For three months</w:t>
            </w:r>
          </w:p>
        </w:tc>
      </w:tr>
      <w:tr>
        <w:trPr>
          <w:trHeight w:val="599" w:hRule="atLeast"/>
        </w:trPr>
        <w:tc>
          <w:tcPr>
            <w:tcW w:w="2000" w:type="dxa"/>
            <w:vMerge/>
            <w:tcBorders>
              <w:top w:val="nil"/>
            </w:tcBorders>
          </w:tcPr>
          <w:p>
            <w:pPr>
              <w:rPr>
                <w:sz w:val="2"/>
                <w:szCs w:val="2"/>
              </w:rPr>
            </w:pPr>
          </w:p>
        </w:tc>
        <w:tc>
          <w:tcPr>
            <w:tcW w:w="1362" w:type="dxa"/>
          </w:tcPr>
          <w:p>
            <w:pPr>
              <w:pStyle w:val="TableParagraph"/>
              <w:spacing w:before="66"/>
              <w:ind w:left="107"/>
              <w:rPr>
                <w:rFonts w:ascii="Arial"/>
                <w:sz w:val="20"/>
              </w:rPr>
            </w:pPr>
            <w:r>
              <w:rPr>
                <w:rFonts w:ascii="Arial"/>
                <w:sz w:val="20"/>
              </w:rPr>
              <w:t>12 weekly</w:t>
            </w:r>
          </w:p>
        </w:tc>
        <w:tc>
          <w:tcPr>
            <w:tcW w:w="2461" w:type="dxa"/>
          </w:tcPr>
          <w:p>
            <w:pPr>
              <w:pStyle w:val="TableParagraph"/>
              <w:spacing w:before="66"/>
              <w:ind w:left="106"/>
              <w:rPr>
                <w:rFonts w:ascii="Arial"/>
                <w:sz w:val="20"/>
              </w:rPr>
            </w:pPr>
            <w:r>
              <w:rPr>
                <w:rFonts w:ascii="Arial"/>
                <w:sz w:val="20"/>
              </w:rPr>
              <w:t>To continue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3"/>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0"/>
        <w:gridCol w:w="4080"/>
      </w:tblGrid>
      <w:tr>
        <w:trPr>
          <w:trHeight w:val="299" w:hRule="atLeast"/>
        </w:trPr>
        <w:tc>
          <w:tcPr>
            <w:tcW w:w="3920" w:type="dxa"/>
          </w:tcPr>
          <w:p>
            <w:pPr>
              <w:pStyle w:val="TableParagraph"/>
              <w:spacing w:line="213" w:lineRule="exact" w:before="66"/>
              <w:ind w:left="107"/>
              <w:rPr>
                <w:rFonts w:ascii="Arial"/>
                <w:sz w:val="20"/>
              </w:rPr>
            </w:pPr>
            <w:r>
              <w:rPr>
                <w:rFonts w:ascii="Arial"/>
                <w:sz w:val="20"/>
              </w:rPr>
              <w:t>White Cell Count &lt;3.5x10</w:t>
            </w:r>
            <w:r>
              <w:rPr>
                <w:rFonts w:ascii="Arial"/>
                <w:sz w:val="20"/>
                <w:vertAlign w:val="superscript"/>
              </w:rPr>
              <w:t>9</w:t>
            </w:r>
            <w:r>
              <w:rPr>
                <w:rFonts w:ascii="Arial"/>
                <w:sz w:val="20"/>
                <w:vertAlign w:val="baseline"/>
              </w:rPr>
              <w:t>/l</w:t>
            </w:r>
          </w:p>
        </w:tc>
        <w:tc>
          <w:tcPr>
            <w:tcW w:w="4080" w:type="dxa"/>
          </w:tcPr>
          <w:p>
            <w:pPr>
              <w:pStyle w:val="TableParagraph"/>
              <w:spacing w:line="213" w:lineRule="exact" w:before="66"/>
              <w:ind w:left="108"/>
              <w:rPr>
                <w:rFonts w:ascii="Arial"/>
                <w:sz w:val="20"/>
              </w:rPr>
            </w:pPr>
            <w:r>
              <w:rPr>
                <w:rFonts w:ascii="Arial"/>
                <w:sz w:val="20"/>
              </w:rPr>
              <w:t>Mean cell volume &gt;105 f/l</w:t>
            </w:r>
          </w:p>
        </w:tc>
      </w:tr>
      <w:tr>
        <w:trPr>
          <w:trHeight w:val="508" w:hRule="atLeast"/>
        </w:trPr>
        <w:tc>
          <w:tcPr>
            <w:tcW w:w="3920" w:type="dxa"/>
          </w:tcPr>
          <w:p>
            <w:pPr>
              <w:pStyle w:val="TableParagraph"/>
              <w:spacing w:before="1"/>
              <w:rPr>
                <w:rFonts w:ascii="Times New Roman"/>
                <w:sz w:val="24"/>
              </w:rPr>
            </w:pPr>
          </w:p>
          <w:p>
            <w:pPr>
              <w:pStyle w:val="TableParagraph"/>
              <w:spacing w:line="211" w:lineRule="exact" w:before="1"/>
              <w:ind w:left="107"/>
              <w:rPr>
                <w:rFonts w:ascii="Arial"/>
                <w:sz w:val="20"/>
              </w:rPr>
            </w:pPr>
            <w:r>
              <w:rPr>
                <w:rFonts w:ascii="Arial"/>
                <w:sz w:val="20"/>
              </w:rPr>
              <w:t>Neutrophils &lt;1.6 x10</w:t>
            </w:r>
            <w:r>
              <w:rPr>
                <w:rFonts w:ascii="Arial"/>
                <w:sz w:val="20"/>
                <w:vertAlign w:val="superscript"/>
              </w:rPr>
              <w:t>9</w:t>
            </w:r>
            <w:r>
              <w:rPr>
                <w:rFonts w:ascii="Arial"/>
                <w:sz w:val="20"/>
                <w:vertAlign w:val="baseline"/>
              </w:rPr>
              <w:t>/l</w:t>
            </w:r>
          </w:p>
        </w:tc>
        <w:tc>
          <w:tcPr>
            <w:tcW w:w="4080" w:type="dxa"/>
          </w:tcPr>
          <w:p>
            <w:pPr>
              <w:pStyle w:val="TableParagraph"/>
              <w:spacing w:line="230" w:lineRule="atLeast" w:before="47"/>
              <w:ind w:left="108"/>
              <w:rPr>
                <w:rFonts w:ascii="Arial"/>
                <w:sz w:val="20"/>
              </w:rPr>
            </w:pPr>
            <w:r>
              <w:rPr>
                <w:rFonts w:ascii="Arial"/>
                <w:sz w:val="20"/>
              </w:rPr>
              <w:t>Creatinine increase &gt;30% over 12 months and/or calculated GFR &lt;60ml/min/1.73m</w:t>
            </w:r>
            <w:r>
              <w:rPr>
                <w:rFonts w:ascii="Arial"/>
                <w:sz w:val="20"/>
                <w:vertAlign w:val="superscript"/>
              </w:rPr>
              <w:t>2</w:t>
            </w:r>
          </w:p>
        </w:tc>
      </w:tr>
      <w:tr>
        <w:trPr>
          <w:trHeight w:val="302" w:hRule="atLeast"/>
        </w:trPr>
        <w:tc>
          <w:tcPr>
            <w:tcW w:w="3920" w:type="dxa"/>
          </w:tcPr>
          <w:p>
            <w:pPr>
              <w:pStyle w:val="TableParagraph"/>
              <w:spacing w:line="213" w:lineRule="exact" w:before="69"/>
              <w:ind w:left="107"/>
              <w:rPr>
                <w:rFonts w:ascii="Arial"/>
                <w:sz w:val="20"/>
              </w:rPr>
            </w:pPr>
            <w:r>
              <w:rPr>
                <w:rFonts w:ascii="Arial"/>
                <w:sz w:val="20"/>
              </w:rPr>
              <w:t>Unexplained eosinophilia &gt;0.5 x 10</w:t>
            </w:r>
            <w:r>
              <w:rPr>
                <w:rFonts w:ascii="Arial"/>
                <w:sz w:val="20"/>
                <w:vertAlign w:val="superscript"/>
              </w:rPr>
              <w:t>9</w:t>
            </w:r>
            <w:r>
              <w:rPr>
                <w:rFonts w:ascii="Arial"/>
                <w:sz w:val="20"/>
                <w:vertAlign w:val="baseline"/>
              </w:rPr>
              <w:t>/l</w:t>
            </w:r>
          </w:p>
        </w:tc>
        <w:tc>
          <w:tcPr>
            <w:tcW w:w="4080" w:type="dxa"/>
          </w:tcPr>
          <w:p>
            <w:pPr>
              <w:pStyle w:val="TableParagraph"/>
              <w:spacing w:line="213" w:lineRule="exact" w:before="69"/>
              <w:ind w:left="108"/>
              <w:rPr>
                <w:rFonts w:ascii="Arial"/>
                <w:sz w:val="20"/>
              </w:rPr>
            </w:pPr>
            <w:r>
              <w:rPr>
                <w:rFonts w:ascii="Arial"/>
                <w:sz w:val="20"/>
              </w:rPr>
              <w:t>ALT and/or AST &gt;100 U/l</w:t>
            </w:r>
          </w:p>
        </w:tc>
      </w:tr>
      <w:tr>
        <w:trPr>
          <w:trHeight w:val="599" w:hRule="atLeast"/>
        </w:trPr>
        <w:tc>
          <w:tcPr>
            <w:tcW w:w="3920" w:type="dxa"/>
          </w:tcPr>
          <w:p>
            <w:pPr>
              <w:pStyle w:val="TableParagraph"/>
              <w:spacing w:before="66"/>
              <w:ind w:left="107"/>
              <w:rPr>
                <w:rFonts w:ascii="Arial"/>
                <w:sz w:val="20"/>
              </w:rPr>
            </w:pPr>
            <w:r>
              <w:rPr>
                <w:rFonts w:ascii="Arial"/>
                <w:sz w:val="20"/>
              </w:rPr>
              <w:t>Platelet count &lt;140 x10</w:t>
            </w:r>
            <w:r>
              <w:rPr>
                <w:rFonts w:ascii="Arial"/>
                <w:sz w:val="20"/>
                <w:vertAlign w:val="superscript"/>
              </w:rPr>
              <w:t>9</w:t>
            </w:r>
            <w:r>
              <w:rPr>
                <w:rFonts w:ascii="Arial"/>
                <w:sz w:val="20"/>
                <w:vertAlign w:val="baseline"/>
              </w:rPr>
              <w:t>/l</w:t>
            </w:r>
          </w:p>
        </w:tc>
        <w:tc>
          <w:tcPr>
            <w:tcW w:w="4080" w:type="dxa"/>
          </w:tcPr>
          <w:p>
            <w:pPr>
              <w:pStyle w:val="TableParagraph"/>
              <w:spacing w:before="66"/>
              <w:ind w:left="108"/>
              <w:rPr>
                <w:rFonts w:ascii="Arial"/>
                <w:sz w:val="20"/>
              </w:rPr>
            </w:pPr>
            <w:r>
              <w:rPr>
                <w:rFonts w:ascii="Arial"/>
                <w:sz w:val="20"/>
              </w:rPr>
              <w:t>Unexplained reduction in albumin &lt;30 g/l</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1"/>
        </w:rPr>
      </w:pPr>
      <w:r>
        <w:rPr/>
        <w:pict>
          <v:shape style="position:absolute;margin-left:30.6pt;margin-top:8.963902pt;width:534.25pt;height:123.9pt;mso-position-horizontal-relative:page;mso-position-vertical-relative:paragraph;z-index:1096;mso-wrap-distance-left:0;mso-wrap-distance-right:0" type="#_x0000_t202" filled="false" stroked="true" strokeweight=".48004pt" strokecolor="#000000">
            <v:textbox inset="0,0,0,0">
              <w:txbxContent>
                <w:p>
                  <w:pPr>
                    <w:pStyle w:val="BodyText"/>
                    <w:numPr>
                      <w:ilvl w:val="0"/>
                      <w:numId w:val="10"/>
                    </w:numPr>
                    <w:tabs>
                      <w:tab w:pos="823" w:val="left" w:leader="none"/>
                      <w:tab w:pos="824" w:val="left" w:leader="none"/>
                    </w:tabs>
                    <w:spacing w:line="240" w:lineRule="auto" w:before="0" w:after="0"/>
                    <w:ind w:left="823" w:right="254" w:hanging="360"/>
                    <w:jc w:val="left"/>
                  </w:pPr>
                  <w:r>
                    <w:rPr/>
                    <w:t>During a serious infection, mycophenolate should be temporarily discontinued until the patient has recovered from the infection. It can be considered appropriate to continue this drug in patients with minor infections (e.g. uncomplicated urinary tract infection treated with a short course of oral</w:t>
                  </w:r>
                  <w:r>
                    <w:rPr>
                      <w:spacing w:val="-21"/>
                    </w:rPr>
                    <w:t> </w:t>
                  </w:r>
                  <w:r>
                    <w:rPr/>
                    <w:t>antibiotics).</w:t>
                  </w:r>
                  <w:r>
                    <w:rPr>
                      <w:vertAlign w:val="superscript"/>
                    </w:rPr>
                    <w:t>3</w:t>
                  </w:r>
                </w:p>
                <w:p>
                  <w:pPr>
                    <w:pStyle w:val="BodyText"/>
                    <w:numPr>
                      <w:ilvl w:val="0"/>
                      <w:numId w:val="10"/>
                    </w:numPr>
                    <w:tabs>
                      <w:tab w:pos="823" w:val="left" w:leader="none"/>
                      <w:tab w:pos="824" w:val="left" w:leader="none"/>
                    </w:tabs>
                    <w:spacing w:line="237" w:lineRule="auto" w:before="0" w:after="0"/>
                    <w:ind w:left="823" w:right="699" w:hanging="360"/>
                    <w:jc w:val="left"/>
                  </w:pPr>
                  <w:r>
                    <w:rPr/>
                    <w:t>Rapid falls or downwards trends in any of the monitored parameters: Monitor closely and discuss with specialist</w:t>
                  </w:r>
                  <w:r>
                    <w:rPr>
                      <w:spacing w:val="-3"/>
                    </w:rPr>
                    <w:t> </w:t>
                  </w:r>
                  <w:r>
                    <w:rPr/>
                    <w:t>team.</w:t>
                  </w:r>
                </w:p>
                <w:p>
                  <w:pPr>
                    <w:pStyle w:val="BodyText"/>
                    <w:numPr>
                      <w:ilvl w:val="0"/>
                      <w:numId w:val="10"/>
                    </w:numPr>
                    <w:tabs>
                      <w:tab w:pos="823" w:val="left" w:leader="none"/>
                      <w:tab w:pos="824" w:val="left" w:leader="none"/>
                    </w:tabs>
                    <w:spacing w:line="240" w:lineRule="auto" w:before="2" w:after="0"/>
                    <w:ind w:left="823" w:right="0" w:hanging="360"/>
                    <w:jc w:val="left"/>
                  </w:pPr>
                  <w:r>
                    <w:rPr/>
                    <w:t>Abnormal bruising or severe sore throat: Check FBC and withhold treatment until results</w:t>
                  </w:r>
                  <w:r>
                    <w:rPr>
                      <w:spacing w:val="-13"/>
                    </w:rPr>
                    <w:t> </w:t>
                  </w:r>
                  <w:r>
                    <w:rPr/>
                    <w:t>available.</w:t>
                  </w:r>
                </w:p>
                <w:p>
                  <w:pPr>
                    <w:pStyle w:val="BodyText"/>
                    <w:numPr>
                      <w:ilvl w:val="0"/>
                      <w:numId w:val="10"/>
                    </w:numPr>
                    <w:tabs>
                      <w:tab w:pos="823" w:val="left" w:leader="none"/>
                      <w:tab w:pos="824" w:val="left" w:leader="none"/>
                    </w:tabs>
                    <w:spacing w:line="240" w:lineRule="auto" w:before="1" w:after="0"/>
                    <w:ind w:left="823" w:right="0" w:hanging="360"/>
                    <w:jc w:val="left"/>
                  </w:pPr>
                  <w:r>
                    <w:rPr/>
                    <w:t>New or increasing dyspnoea or dry cough: Withhold treatment and discuss with specialist</w:t>
                  </w:r>
                  <w:r>
                    <w:rPr>
                      <w:spacing w:val="-15"/>
                    </w:rPr>
                    <w:t> </w:t>
                  </w:r>
                  <w:r>
                    <w:rPr/>
                    <w:t>service.</w:t>
                  </w:r>
                </w:p>
                <w:p>
                  <w:pPr>
                    <w:pStyle w:val="BodyText"/>
                    <w:ind w:left="103"/>
                  </w:pPr>
                  <w:r>
                    <w:rPr/>
                    <w:t>This list is not exhaustive; refer to the Summary of Product Characteristics (SMPC) or BNF for further guidance.</w:t>
                  </w:r>
                </w:p>
              </w:txbxContent>
            </v:textbox>
            <v:stroke dashstyle="solid"/>
            <w10:wrap type="topAndBottom"/>
          </v:shape>
        </w:pict>
      </w:r>
    </w:p>
    <w:p>
      <w:pPr>
        <w:spacing w:after="0"/>
        <w:rPr>
          <w:rFonts w:ascii="Times New Roman"/>
          <w:sz w:val="11"/>
        </w:rPr>
        <w:sectPr>
          <w:pgSz w:w="11910" w:h="16840"/>
          <w:pgMar w:header="541" w:footer="1020" w:top="1600" w:bottom="1200" w:left="300" w:right="100"/>
        </w:sectPr>
      </w:pPr>
    </w:p>
    <w:p>
      <w:pPr>
        <w:pStyle w:val="BodyText"/>
        <w:spacing w:before="7"/>
        <w:rPr>
          <w:rFonts w:ascii="Times New Roman"/>
          <w:sz w:val="26"/>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41"/>
        <w:gridCol w:w="5343"/>
      </w:tblGrid>
      <w:tr>
        <w:trPr>
          <w:trHeight w:val="1612" w:hRule="atLeast"/>
        </w:trPr>
        <w:tc>
          <w:tcPr>
            <w:tcW w:w="5341" w:type="dxa"/>
          </w:tcPr>
          <w:p>
            <w:pPr>
              <w:pStyle w:val="TableParagraph"/>
              <w:spacing w:line="268" w:lineRule="exact"/>
              <w:ind w:left="107"/>
              <w:rPr>
                <w:b/>
                <w:sz w:val="22"/>
              </w:rPr>
            </w:pPr>
            <w:r>
              <w:rPr>
                <w:b/>
                <w:sz w:val="22"/>
              </w:rPr>
              <w:t>Specialist team:</w:t>
            </w:r>
          </w:p>
          <w:p>
            <w:pPr>
              <w:pStyle w:val="TableParagraph"/>
              <w:spacing w:before="2"/>
              <w:rPr>
                <w:rFonts w:ascii="Times New Roman"/>
                <w:sz w:val="23"/>
              </w:rPr>
            </w:pPr>
          </w:p>
          <w:p>
            <w:pPr>
              <w:pStyle w:val="TableParagraph"/>
              <w:ind w:left="107"/>
              <w:rPr>
                <w:sz w:val="22"/>
              </w:rPr>
            </w:pPr>
            <w:r>
              <w:rPr>
                <w:sz w:val="22"/>
              </w:rPr>
              <w:t>Address:</w:t>
            </w:r>
          </w:p>
          <w:p>
            <w:pPr>
              <w:pStyle w:val="TableParagraph"/>
              <w:spacing w:before="4"/>
              <w:rPr>
                <w:rFonts w:ascii="Times New Roman"/>
                <w:sz w:val="23"/>
              </w:rPr>
            </w:pPr>
          </w:p>
          <w:p>
            <w:pPr>
              <w:pStyle w:val="TableParagraph"/>
              <w:ind w:left="107"/>
              <w:rPr>
                <w:sz w:val="22"/>
              </w:rPr>
            </w:pPr>
            <w:r>
              <w:rPr>
                <w:sz w:val="22"/>
              </w:rPr>
              <w:t>Contact Number:</w:t>
            </w:r>
          </w:p>
        </w:tc>
        <w:tc>
          <w:tcPr>
            <w:tcW w:w="5343" w:type="dxa"/>
            <w:vMerge w:val="restart"/>
          </w:tcPr>
          <w:p>
            <w:pPr>
              <w:pStyle w:val="TableParagraph"/>
              <w:spacing w:line="268" w:lineRule="exact"/>
              <w:ind w:left="107"/>
              <w:rPr>
                <w:sz w:val="22"/>
              </w:rPr>
            </w:pPr>
            <w:r>
              <w:rPr>
                <w:sz w:val="22"/>
              </w:rPr>
              <w:t>Patient Details</w:t>
            </w:r>
          </w:p>
        </w:tc>
      </w:tr>
      <w:tr>
        <w:trPr>
          <w:trHeight w:val="1612" w:hRule="atLeast"/>
        </w:trPr>
        <w:tc>
          <w:tcPr>
            <w:tcW w:w="5341" w:type="dxa"/>
          </w:tcPr>
          <w:p>
            <w:pPr>
              <w:pStyle w:val="TableParagraph"/>
              <w:spacing w:line="265" w:lineRule="exact"/>
              <w:ind w:left="107"/>
              <w:rPr>
                <w:b/>
                <w:sz w:val="22"/>
              </w:rPr>
            </w:pPr>
            <w:r>
              <w:rPr>
                <w:b/>
                <w:sz w:val="22"/>
              </w:rPr>
              <w:t>Primary care Prescriber:</w:t>
            </w:r>
          </w:p>
          <w:p>
            <w:pPr>
              <w:pStyle w:val="TableParagraph"/>
              <w:spacing w:before="4"/>
              <w:rPr>
                <w:rFonts w:ascii="Times New Roman"/>
                <w:sz w:val="23"/>
              </w:rPr>
            </w:pPr>
          </w:p>
          <w:p>
            <w:pPr>
              <w:pStyle w:val="TableParagraph"/>
              <w:ind w:left="107"/>
              <w:rPr>
                <w:sz w:val="22"/>
              </w:rPr>
            </w:pPr>
            <w:r>
              <w:rPr>
                <w:sz w:val="22"/>
              </w:rPr>
              <w:t>Address:</w:t>
            </w:r>
          </w:p>
          <w:p>
            <w:pPr>
              <w:pStyle w:val="TableParagraph"/>
              <w:spacing w:before="5"/>
              <w:rPr>
                <w:rFonts w:ascii="Times New Roman"/>
                <w:sz w:val="23"/>
              </w:rPr>
            </w:pPr>
          </w:p>
          <w:p>
            <w:pPr>
              <w:pStyle w:val="TableParagraph"/>
              <w:ind w:left="107"/>
              <w:rPr>
                <w:sz w:val="22"/>
              </w:rPr>
            </w:pPr>
            <w:r>
              <w:rPr>
                <w:sz w:val="22"/>
              </w:rPr>
              <w:t>Contact Number:</w:t>
            </w:r>
          </w:p>
        </w:tc>
        <w:tc>
          <w:tcPr>
            <w:tcW w:w="5343" w:type="dxa"/>
            <w:vMerge/>
            <w:tcBorders>
              <w:top w:val="nil"/>
            </w:tcBorders>
          </w:tcPr>
          <w:p>
            <w:pPr>
              <w:rPr>
                <w:sz w:val="2"/>
                <w:szCs w:val="2"/>
              </w:rPr>
            </w:pPr>
          </w:p>
        </w:tc>
      </w:tr>
      <w:tr>
        <w:trPr>
          <w:trHeight w:val="1073" w:hRule="atLeast"/>
        </w:trPr>
        <w:tc>
          <w:tcPr>
            <w:tcW w:w="5341" w:type="dxa"/>
          </w:tcPr>
          <w:p>
            <w:pPr>
              <w:pStyle w:val="TableParagraph"/>
              <w:spacing w:line="265" w:lineRule="exact"/>
              <w:ind w:left="107"/>
              <w:rPr>
                <w:b/>
                <w:sz w:val="22"/>
              </w:rPr>
            </w:pPr>
            <w:r>
              <w:rPr>
                <w:b/>
                <w:sz w:val="22"/>
              </w:rPr>
              <w:t>Main Carer if appropriate:</w:t>
            </w:r>
          </w:p>
          <w:p>
            <w:pPr>
              <w:pStyle w:val="TableParagraph"/>
              <w:spacing w:before="5"/>
              <w:rPr>
                <w:rFonts w:ascii="Times New Roman"/>
                <w:sz w:val="23"/>
              </w:rPr>
            </w:pPr>
          </w:p>
          <w:p>
            <w:pPr>
              <w:pStyle w:val="TableParagraph"/>
              <w:ind w:left="107"/>
              <w:rPr>
                <w:sz w:val="22"/>
              </w:rPr>
            </w:pPr>
            <w:r>
              <w:rPr>
                <w:sz w:val="22"/>
              </w:rPr>
              <w:t>Contact Number:</w:t>
            </w:r>
          </w:p>
        </w:tc>
        <w:tc>
          <w:tcPr>
            <w:tcW w:w="5343" w:type="dxa"/>
            <w:vMerge/>
            <w:tcBorders>
              <w:top w:val="nil"/>
            </w:tcBorders>
          </w:tcPr>
          <w:p>
            <w:pPr>
              <w:rPr>
                <w:sz w:val="2"/>
                <w:szCs w:val="2"/>
              </w:rPr>
            </w:pPr>
          </w:p>
        </w:tc>
      </w:tr>
      <w:tr>
        <w:trPr>
          <w:trHeight w:val="805" w:hRule="atLeast"/>
        </w:trPr>
        <w:tc>
          <w:tcPr>
            <w:tcW w:w="5341" w:type="dxa"/>
          </w:tcPr>
          <w:p>
            <w:pPr>
              <w:pStyle w:val="TableParagraph"/>
              <w:spacing w:line="265" w:lineRule="exact"/>
              <w:ind w:left="107"/>
              <w:rPr>
                <w:b/>
                <w:sz w:val="22"/>
              </w:rPr>
            </w:pPr>
            <w:r>
              <w:rPr>
                <w:b/>
                <w:sz w:val="22"/>
              </w:rPr>
              <w:t>Key Worker if appropriate:</w:t>
            </w:r>
          </w:p>
          <w:p>
            <w:pPr>
              <w:pStyle w:val="TableParagraph"/>
              <w:spacing w:before="4"/>
              <w:rPr>
                <w:rFonts w:ascii="Times New Roman"/>
                <w:sz w:val="23"/>
              </w:rPr>
            </w:pPr>
          </w:p>
          <w:p>
            <w:pPr>
              <w:pStyle w:val="TableParagraph"/>
              <w:spacing w:line="252" w:lineRule="exact"/>
              <w:ind w:left="107"/>
              <w:rPr>
                <w:sz w:val="22"/>
              </w:rPr>
            </w:pPr>
            <w:r>
              <w:rPr>
                <w:sz w:val="22"/>
              </w:rPr>
              <w:t>Contact Number</w:t>
            </w:r>
          </w:p>
        </w:tc>
        <w:tc>
          <w:tcPr>
            <w:tcW w:w="5343" w:type="dxa"/>
            <w:vMerge/>
            <w:tcBorders>
              <w:top w:val="nil"/>
            </w:tcBorders>
          </w:tcPr>
          <w:p>
            <w:pPr>
              <w:rPr>
                <w:sz w:val="2"/>
                <w:szCs w:val="2"/>
              </w:rPr>
            </w:pPr>
          </w:p>
        </w:tc>
      </w:tr>
    </w:tbl>
    <w:p>
      <w:pPr>
        <w:pStyle w:val="BodyText"/>
        <w:spacing w:before="2"/>
        <w:rPr>
          <w:rFonts w:ascii="Times New Roman"/>
          <w:sz w:val="19"/>
        </w:rPr>
      </w:pPr>
      <w:r>
        <w:rPr/>
        <w:pict>
          <v:shape style="position:absolute;margin-left:26.9pt;margin-top:13.42pt;width:540pt;height:21.35pt;mso-position-horizontal-relative:page;mso-position-vertical-relative:paragraph;z-index:1264;mso-wrap-distance-left:0;mso-wrap-distance-right:0" type="#_x0000_t202" filled="true" fillcolor="#548ed4" stroked="true" strokeweight=".75pt" strokecolor="#000000">
            <v:textbox inset="0,0,0,0">
              <w:txbxContent>
                <w:p>
                  <w:pPr>
                    <w:spacing w:before="69"/>
                    <w:ind w:left="143" w:right="0" w:firstLine="0"/>
                    <w:jc w:val="left"/>
                    <w:rPr>
                      <w:b/>
                      <w:sz w:val="22"/>
                    </w:rPr>
                  </w:pPr>
                  <w:r>
                    <w:rPr>
                      <w:b/>
                      <w:sz w:val="22"/>
                    </w:rPr>
                    <w:t>A further letter will be sent with specific dosing instructions and contact details for stable doses, prior to handover</w:t>
                  </w:r>
                </w:p>
              </w:txbxContent>
            </v:textbox>
            <v:fill type="solid"/>
            <v:stroke dashstyle="solid"/>
            <w10:wrap type="topAndBottom"/>
          </v:shape>
        </w:pict>
      </w:r>
    </w:p>
    <w:p>
      <w:pPr>
        <w:pStyle w:val="BodyText"/>
        <w:spacing w:before="7"/>
        <w:rPr>
          <w:rFonts w:ascii="Times New Roman"/>
          <w:sz w:val="24"/>
        </w:rPr>
      </w:pPr>
    </w:p>
    <w:p>
      <w:pPr>
        <w:pStyle w:val="Heading3"/>
        <w:spacing w:before="56"/>
      </w:pPr>
      <w:r>
        <w:rPr/>
        <w:t>References</w:t>
      </w:r>
    </w:p>
    <w:p>
      <w:pPr>
        <w:pStyle w:val="ListParagraph"/>
        <w:numPr>
          <w:ilvl w:val="0"/>
          <w:numId w:val="11"/>
        </w:numPr>
        <w:tabs>
          <w:tab w:pos="598" w:val="left" w:leader="none"/>
        </w:tabs>
        <w:spacing w:line="240" w:lineRule="auto" w:before="3" w:after="0"/>
        <w:ind w:left="420" w:right="949" w:firstLine="0"/>
        <w:jc w:val="left"/>
        <w:rPr>
          <w:sz w:val="18"/>
        </w:rPr>
      </w:pPr>
      <w:r>
        <w:rPr>
          <w:sz w:val="18"/>
        </w:rPr>
        <w:t>Chakraverty, K., Mcdonald, H., Pullar, T. Et al. (2008) BSR/BHPR guideline for disease-modifying anti-rheumatic drug (DMARD) therapy in consultation with the British Association of Dermatologists. Rheumatology 47(6),</w:t>
      </w:r>
      <w:r>
        <w:rPr>
          <w:spacing w:val="-9"/>
          <w:sz w:val="18"/>
        </w:rPr>
        <w:t> </w:t>
      </w:r>
      <w:r>
        <w:rPr>
          <w:sz w:val="18"/>
        </w:rPr>
        <w:t>924-925.</w:t>
      </w:r>
    </w:p>
    <w:p>
      <w:pPr>
        <w:pStyle w:val="ListParagraph"/>
        <w:numPr>
          <w:ilvl w:val="0"/>
          <w:numId w:val="11"/>
        </w:numPr>
        <w:tabs>
          <w:tab w:pos="598" w:val="left" w:leader="none"/>
        </w:tabs>
        <w:spacing w:line="240" w:lineRule="auto" w:before="0" w:after="0"/>
        <w:ind w:left="420" w:right="758" w:firstLine="0"/>
        <w:jc w:val="left"/>
        <w:rPr>
          <w:sz w:val="18"/>
        </w:rPr>
      </w:pPr>
      <w:r>
        <w:rPr>
          <w:sz w:val="18"/>
        </w:rPr>
        <w:t>Immunisation of individuals with underlying medical conditions</w:t>
      </w:r>
      <w:hyperlink r:id="rId8">
        <w:r>
          <w:rPr>
            <w:color w:val="0000FF"/>
            <w:sz w:val="18"/>
            <w:u w:val="single" w:color="0000FF"/>
          </w:rPr>
          <w:t> https://www.gov.uk/government/uploads/system/uploads/attachment_data/file/566853/Green_Book_Chapter7.pdf</w:t>
        </w:r>
        <w:r>
          <w:rPr>
            <w:color w:val="0000FF"/>
            <w:sz w:val="18"/>
          </w:rPr>
          <w:t> </w:t>
        </w:r>
      </w:hyperlink>
      <w:r>
        <w:rPr>
          <w:sz w:val="18"/>
        </w:rPr>
        <w:t>(accessed</w:t>
      </w:r>
      <w:r>
        <w:rPr>
          <w:spacing w:val="-23"/>
          <w:sz w:val="18"/>
        </w:rPr>
        <w:t> </w:t>
      </w:r>
      <w:r>
        <w:rPr>
          <w:sz w:val="18"/>
        </w:rPr>
        <w:t>09/03/2017)</w:t>
      </w:r>
    </w:p>
    <w:p>
      <w:pPr>
        <w:pStyle w:val="ListParagraph"/>
        <w:numPr>
          <w:ilvl w:val="0"/>
          <w:numId w:val="11"/>
        </w:numPr>
        <w:tabs>
          <w:tab w:pos="598" w:val="left" w:leader="none"/>
        </w:tabs>
        <w:spacing w:line="240" w:lineRule="auto" w:before="0" w:after="0"/>
        <w:ind w:left="420" w:right="956" w:firstLine="0"/>
        <w:jc w:val="left"/>
        <w:rPr>
          <w:sz w:val="22"/>
        </w:rPr>
      </w:pPr>
      <w:r>
        <w:rPr>
          <w:sz w:val="18"/>
        </w:rPr>
        <w:t>BSR and BHPR guideline for the prescription and monitoring of non-biologic disease-modifying anti-rheumatic drugs. Jo Ledingham et al.</w:t>
      </w:r>
      <w:hyperlink r:id="rId9">
        <w:r>
          <w:rPr>
            <w:color w:val="0000FF"/>
            <w:sz w:val="18"/>
            <w:u w:val="single" w:color="0000FF"/>
          </w:rPr>
          <w:t> http://www.rheumatology.org.uk/includes/documents/cm_docs/2017/f/full_guideline_dmards.pdf</w:t>
        </w:r>
        <w:r>
          <w:rPr>
            <w:color w:val="0000FF"/>
            <w:sz w:val="18"/>
          </w:rPr>
          <w:t> </w:t>
        </w:r>
      </w:hyperlink>
      <w:r>
        <w:rPr>
          <w:sz w:val="22"/>
        </w:rPr>
        <w:t>(accessed</w:t>
      </w:r>
      <w:r>
        <w:rPr>
          <w:spacing w:val="-33"/>
          <w:sz w:val="22"/>
        </w:rPr>
        <w:t> </w:t>
      </w:r>
      <w:r>
        <w:rPr>
          <w:sz w:val="22"/>
        </w:rPr>
        <w:t>9/3/17)</w:t>
      </w:r>
    </w:p>
    <w:p>
      <w:pPr>
        <w:pStyle w:val="BodyText"/>
        <w:spacing w:line="265" w:lineRule="exact"/>
        <w:ind w:left="420"/>
      </w:pPr>
      <w:r>
        <w:rPr>
          <w:position w:val="10"/>
          <w:sz w:val="14"/>
        </w:rPr>
        <w:t>4</w:t>
      </w:r>
      <w:r>
        <w:rPr/>
        <w:t>Handbook of systemic drug treatment in dermatology 2</w:t>
      </w:r>
      <w:r>
        <w:rPr>
          <w:vertAlign w:val="superscript"/>
        </w:rPr>
        <w:t>nd</w:t>
      </w:r>
      <w:r>
        <w:rPr>
          <w:vertAlign w:val="baseline"/>
        </w:rPr>
        <w:t> edition (2015) S Wakelin et al</w:t>
      </w:r>
    </w:p>
    <w:p>
      <w:pPr>
        <w:spacing w:after="0" w:line="265" w:lineRule="exact"/>
        <w:sectPr>
          <w:pgSz w:w="11910" w:h="16840"/>
          <w:pgMar w:header="541" w:footer="1020" w:top="1600" w:bottom="1200" w:left="300" w:right="100"/>
        </w:sectPr>
      </w:pPr>
    </w:p>
    <w:p>
      <w:pPr>
        <w:pStyle w:val="Heading1"/>
        <w:ind w:left="3350"/>
        <w:jc w:val="left"/>
      </w:pPr>
      <w:r>
        <w:rPr/>
        <w:pict>
          <v:shape style="position:absolute;margin-left:32.25pt;margin-top:22.120108pt;width:552.75pt;height:86.05pt;mso-position-horizontal-relative:page;mso-position-vertical-relative:paragraph;z-index:1288;mso-wrap-distance-left:0;mso-wrap-distance-right:0" type="#_x0000_t202" filled="false" stroked="true" strokeweight=".75pt" strokecolor="#000000">
            <v:textbox inset="0,0,0,0">
              <w:txbxContent>
                <w:p>
                  <w:pPr>
                    <w:spacing w:before="70"/>
                    <w:ind w:left="2" w:right="0" w:firstLine="0"/>
                    <w:jc w:val="center"/>
                    <w:rPr>
                      <w:sz w:val="40"/>
                    </w:rPr>
                  </w:pPr>
                  <w:r>
                    <w:rPr>
                      <w:sz w:val="40"/>
                    </w:rPr>
                    <w:t>Effective Shared Care Agreement (ESCA)</w:t>
                  </w:r>
                </w:p>
                <w:p>
                  <w:pPr>
                    <w:spacing w:before="268"/>
                    <w:ind w:left="4" w:right="0" w:firstLine="0"/>
                    <w:jc w:val="center"/>
                    <w:rPr>
                      <w:b/>
                      <w:sz w:val="22"/>
                    </w:rPr>
                  </w:pPr>
                  <w:r>
                    <w:rPr>
                      <w:sz w:val="22"/>
                    </w:rPr>
                    <w:t>DRUG NAME: </w:t>
                  </w:r>
                  <w:r>
                    <w:rPr>
                      <w:b/>
                      <w:sz w:val="22"/>
                    </w:rPr>
                    <w:t>Mycophenolate Mofetil</w:t>
                  </w:r>
                </w:p>
                <w:p>
                  <w:pPr>
                    <w:pStyle w:val="BodyText"/>
                    <w:spacing w:before="11"/>
                    <w:rPr>
                      <w:b/>
                      <w:sz w:val="21"/>
                    </w:rPr>
                  </w:pPr>
                </w:p>
                <w:p>
                  <w:pPr>
                    <w:pStyle w:val="BodyText"/>
                    <w:tabs>
                      <w:tab w:pos="3891" w:val="left" w:leader="none"/>
                    </w:tabs>
                    <w:ind w:left="46"/>
                    <w:jc w:val="center"/>
                  </w:pPr>
                  <w:r>
                    <w:rPr/>
                    <w:t>Indication:</w:t>
                  </w:r>
                  <w:r>
                    <w:rPr>
                      <w:u w:val="single"/>
                    </w:rPr>
                    <w:t> </w:t>
                    <w:tab/>
                  </w:r>
                </w:p>
              </w:txbxContent>
            </v:textbox>
            <v:stroke dashstyle="solid"/>
            <w10:wrap type="topAndBottom"/>
          </v:shape>
        </w:pict>
      </w:r>
      <w:r>
        <w:rPr/>
        <w:t>Shared care prescribing handover sheet</w:t>
      </w:r>
    </w:p>
    <w:p>
      <w:pPr>
        <w:spacing w:line="480" w:lineRule="auto" w:before="229"/>
        <w:ind w:left="1670" w:right="1866" w:firstLine="0"/>
        <w:jc w:val="center"/>
        <w:rPr>
          <w:b/>
          <w:sz w:val="28"/>
        </w:rPr>
      </w:pPr>
      <w:r>
        <w:rPr>
          <w:b/>
          <w:sz w:val="28"/>
        </w:rPr>
        <w:t>Agreement for transfer of prescribing to PRIMARY CARE PRESCRIBER Patient details: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7"/>
        </w:rPr>
      </w:pPr>
    </w:p>
    <w:p>
      <w:pPr>
        <w:pStyle w:val="Heading2"/>
        <w:spacing w:line="480" w:lineRule="auto" w:before="1"/>
        <w:ind w:right="5484"/>
      </w:pPr>
      <w:r>
        <w:rPr/>
        <w:pict>
          <v:shape style="position:absolute;margin-left:30.6pt;margin-top:-149.594223pt;width:534.25pt;height:132.4pt;mso-position-horizontal-relative:page;mso-position-vertical-relative:paragraph;z-index:-19096" type="#_x0000_t202" filled="false" stroked="true" strokeweight=".48004pt" strokecolor="#000000">
            <v:textbox inset="0,0,0,0">
              <w:txbxContent>
                <w:p>
                  <w:pPr>
                    <w:spacing w:line="480" w:lineRule="auto" w:before="0"/>
                    <w:ind w:left="103" w:right="9695" w:firstLine="0"/>
                    <w:jc w:val="left"/>
                    <w:rPr>
                      <w:b/>
                      <w:sz w:val="24"/>
                    </w:rPr>
                  </w:pPr>
                  <w:r>
                    <w:rPr>
                      <w:b/>
                      <w:sz w:val="24"/>
                    </w:rPr>
                    <w:t>Name: Address: DoB: NHS No:</w:t>
                  </w:r>
                </w:p>
                <w:p>
                  <w:pPr>
                    <w:spacing w:line="292" w:lineRule="exact" w:before="0"/>
                    <w:ind w:left="103" w:right="0" w:firstLine="0"/>
                    <w:jc w:val="left"/>
                    <w:rPr>
                      <w:b/>
                      <w:sz w:val="24"/>
                    </w:rPr>
                  </w:pPr>
                  <w:r>
                    <w:rPr>
                      <w:b/>
                      <w:sz w:val="24"/>
                    </w:rPr>
                    <w:t>Hospital No:</w:t>
                  </w:r>
                </w:p>
              </w:txbxContent>
            </v:textbox>
            <v:stroke dashstyle="solid"/>
            <w10:wrap type="none"/>
          </v:shape>
        </w:pict>
      </w:r>
      <w:r>
        <w:rPr/>
        <w:t>This patient is being handed over on the following dose: Date treatment initiated:</w:t>
      </w:r>
    </w:p>
    <w:p>
      <w:pPr>
        <w:spacing w:line="293" w:lineRule="exact" w:before="0"/>
        <w:ind w:left="420" w:right="0" w:firstLine="0"/>
        <w:jc w:val="left"/>
        <w:rPr>
          <w:b/>
          <w:sz w:val="24"/>
        </w:rPr>
      </w:pPr>
      <w:r>
        <w:rPr>
          <w:b/>
          <w:sz w:val="24"/>
        </w:rPr>
        <w:t>The results of any relevant tests are attached to this letter.</w:t>
      </w:r>
    </w:p>
    <w:p>
      <w:pPr>
        <w:pStyle w:val="BodyText"/>
        <w:spacing w:before="11"/>
        <w:rPr>
          <w:b/>
          <w:sz w:val="23"/>
        </w:rPr>
      </w:pPr>
    </w:p>
    <w:p>
      <w:pPr>
        <w:spacing w:line="482" w:lineRule="auto" w:before="1"/>
        <w:ind w:left="420" w:right="3620" w:firstLine="0"/>
        <w:jc w:val="left"/>
        <w:rPr>
          <w:b/>
          <w:sz w:val="24"/>
        </w:rPr>
      </w:pPr>
      <w:r>
        <w:rPr>
          <w:b/>
          <w:sz w:val="24"/>
        </w:rPr>
        <w:t>The patient will be reviewed regularly under their named consultant team. Approximate date of next clinic appointment:</w:t>
      </w:r>
    </w:p>
    <w:p>
      <w:pPr>
        <w:pStyle w:val="BodyText"/>
        <w:ind w:left="560"/>
        <w:rPr>
          <w:sz w:val="20"/>
        </w:rPr>
      </w:pPr>
      <w:r>
        <w:rPr>
          <w:position w:val="0"/>
          <w:sz w:val="20"/>
        </w:rPr>
        <w:pict>
          <v:shape style="width:506.8pt;height:34.75pt;mso-position-horizontal-relative:char;mso-position-vertical-relative:line" type="#_x0000_t202" filled="true" fillcolor="#4aacc5" stroked="true" strokeweight=".75pt" strokecolor="#000000">
            <w10:anchorlock/>
            <v:textbox inset="0,0,0,0">
              <w:txbxContent>
                <w:p>
                  <w:pPr>
                    <w:spacing w:before="70"/>
                    <w:ind w:left="4518" w:right="255" w:hanging="4261"/>
                    <w:jc w:val="left"/>
                    <w:rPr>
                      <w:b/>
                      <w:sz w:val="22"/>
                    </w:rPr>
                  </w:pPr>
                  <w:r>
                    <w:rPr>
                      <w:b/>
                      <w:sz w:val="22"/>
                    </w:rPr>
                    <w:t>If the practice declines shared care the named consultant should be informed within 14 days of receipt of this request</w:t>
                  </w:r>
                </w:p>
              </w:txbxContent>
            </v:textbox>
            <v:fill type="solid"/>
            <v:stroke dashstyle="solid"/>
          </v:shape>
        </w:pict>
      </w:r>
      <w:r>
        <w:rPr>
          <w:position w:val="0"/>
          <w:sz w:val="20"/>
        </w:rPr>
      </w:r>
    </w:p>
    <w:p>
      <w:pPr>
        <w:spacing w:before="0"/>
        <w:ind w:left="420" w:right="0" w:firstLine="0"/>
        <w:jc w:val="left"/>
        <w:rPr>
          <w:b/>
          <w:sz w:val="24"/>
        </w:rPr>
      </w:pPr>
      <w:r>
        <w:rPr>
          <w:b/>
          <w:sz w:val="24"/>
        </w:rPr>
        <w:t>BACK- UP ADVICE AND SUPPORT</w:t>
      </w: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2"/>
        <w:gridCol w:w="2670"/>
        <w:gridCol w:w="2672"/>
        <w:gridCol w:w="2672"/>
      </w:tblGrid>
      <w:tr>
        <w:trPr>
          <w:trHeight w:val="292" w:hRule="atLeast"/>
        </w:trPr>
        <w:tc>
          <w:tcPr>
            <w:tcW w:w="2672" w:type="dxa"/>
          </w:tcPr>
          <w:p>
            <w:pPr>
              <w:pStyle w:val="TableParagraph"/>
              <w:rPr>
                <w:rFonts w:ascii="Times New Roman"/>
                <w:sz w:val="20"/>
              </w:rPr>
            </w:pPr>
          </w:p>
        </w:tc>
        <w:tc>
          <w:tcPr>
            <w:tcW w:w="2670" w:type="dxa"/>
          </w:tcPr>
          <w:p>
            <w:pPr>
              <w:pStyle w:val="TableParagraph"/>
              <w:spacing w:line="272" w:lineRule="exact"/>
              <w:ind w:left="107"/>
              <w:rPr>
                <w:b/>
                <w:sz w:val="24"/>
              </w:rPr>
            </w:pPr>
            <w:r>
              <w:rPr>
                <w:b/>
                <w:sz w:val="24"/>
              </w:rPr>
              <w:t>Name / position</w:t>
            </w:r>
          </w:p>
        </w:tc>
        <w:tc>
          <w:tcPr>
            <w:tcW w:w="2672" w:type="dxa"/>
          </w:tcPr>
          <w:p>
            <w:pPr>
              <w:pStyle w:val="TableParagraph"/>
              <w:spacing w:line="272" w:lineRule="exact"/>
              <w:ind w:left="106"/>
              <w:rPr>
                <w:b/>
                <w:sz w:val="24"/>
              </w:rPr>
            </w:pPr>
            <w:r>
              <w:rPr>
                <w:b/>
                <w:sz w:val="24"/>
              </w:rPr>
              <w:t>Telephone</w:t>
            </w:r>
          </w:p>
        </w:tc>
        <w:tc>
          <w:tcPr>
            <w:tcW w:w="2672" w:type="dxa"/>
          </w:tcPr>
          <w:p>
            <w:pPr>
              <w:pStyle w:val="TableParagraph"/>
              <w:spacing w:line="272" w:lineRule="exact"/>
              <w:ind w:left="106"/>
              <w:rPr>
                <w:b/>
                <w:sz w:val="24"/>
              </w:rPr>
            </w:pPr>
            <w:r>
              <w:rPr>
                <w:b/>
                <w:sz w:val="24"/>
              </w:rPr>
              <w:t>Email</w:t>
            </w:r>
          </w:p>
        </w:tc>
      </w:tr>
      <w:tr>
        <w:trPr>
          <w:trHeight w:val="292" w:hRule="atLeast"/>
        </w:trPr>
        <w:tc>
          <w:tcPr>
            <w:tcW w:w="2672" w:type="dxa"/>
          </w:tcPr>
          <w:p>
            <w:pPr>
              <w:pStyle w:val="TableParagraph"/>
              <w:spacing w:line="272" w:lineRule="exact"/>
              <w:ind w:left="107"/>
              <w:rPr>
                <w:b/>
                <w:sz w:val="24"/>
              </w:rPr>
            </w:pPr>
            <w:r>
              <w:rPr>
                <w:b/>
                <w:sz w:val="24"/>
              </w:rPr>
              <w:t>Named consultant:</w:t>
            </w:r>
          </w:p>
        </w:tc>
        <w:tc>
          <w:tcPr>
            <w:tcW w:w="2670" w:type="dxa"/>
          </w:tcPr>
          <w:p>
            <w:pPr>
              <w:pStyle w:val="TableParagraph"/>
              <w:rPr>
                <w:rFonts w:ascii="Times New Roman"/>
                <w:sz w:val="20"/>
              </w:rPr>
            </w:pPr>
          </w:p>
        </w:tc>
        <w:tc>
          <w:tcPr>
            <w:tcW w:w="2672" w:type="dxa"/>
          </w:tcPr>
          <w:p>
            <w:pPr>
              <w:pStyle w:val="TableParagraph"/>
              <w:rPr>
                <w:rFonts w:ascii="Times New Roman"/>
                <w:sz w:val="20"/>
              </w:rPr>
            </w:pPr>
          </w:p>
        </w:tc>
        <w:tc>
          <w:tcPr>
            <w:tcW w:w="2672" w:type="dxa"/>
          </w:tcPr>
          <w:p>
            <w:pPr>
              <w:pStyle w:val="TableParagraph"/>
              <w:rPr>
                <w:rFonts w:ascii="Times New Roman"/>
                <w:sz w:val="20"/>
              </w:rPr>
            </w:pPr>
          </w:p>
        </w:tc>
      </w:tr>
      <w:tr>
        <w:trPr>
          <w:trHeight w:val="1173" w:hRule="atLeast"/>
        </w:trPr>
        <w:tc>
          <w:tcPr>
            <w:tcW w:w="2672" w:type="dxa"/>
          </w:tcPr>
          <w:p>
            <w:pPr>
              <w:pStyle w:val="TableParagraph"/>
              <w:ind w:left="107" w:right="293"/>
              <w:rPr>
                <w:b/>
                <w:sz w:val="24"/>
              </w:rPr>
            </w:pPr>
            <w:r>
              <w:rPr>
                <w:b/>
                <w:sz w:val="24"/>
              </w:rPr>
              <w:t>Alternative specialist (e.g. departmental contact or Shared care</w:t>
            </w:r>
          </w:p>
          <w:p>
            <w:pPr>
              <w:pStyle w:val="TableParagraph"/>
              <w:spacing w:line="273" w:lineRule="exact" w:before="1"/>
              <w:ind w:left="107"/>
              <w:rPr>
                <w:b/>
                <w:sz w:val="24"/>
              </w:rPr>
            </w:pPr>
            <w:r>
              <w:rPr>
                <w:b/>
                <w:sz w:val="24"/>
              </w:rPr>
              <w:t>co-ordinator):</w:t>
            </w:r>
          </w:p>
        </w:tc>
        <w:tc>
          <w:tcPr>
            <w:tcW w:w="2670" w:type="dxa"/>
          </w:tcPr>
          <w:p>
            <w:pPr>
              <w:pStyle w:val="TableParagraph"/>
              <w:rPr>
                <w:rFonts w:ascii="Times New Roman"/>
                <w:sz w:val="24"/>
              </w:rPr>
            </w:pPr>
          </w:p>
        </w:tc>
        <w:tc>
          <w:tcPr>
            <w:tcW w:w="2672" w:type="dxa"/>
          </w:tcPr>
          <w:p>
            <w:pPr>
              <w:pStyle w:val="TableParagraph"/>
              <w:rPr>
                <w:rFonts w:ascii="Times New Roman"/>
                <w:sz w:val="24"/>
              </w:rPr>
            </w:pPr>
          </w:p>
        </w:tc>
        <w:tc>
          <w:tcPr>
            <w:tcW w:w="2672" w:type="dxa"/>
          </w:tcPr>
          <w:p>
            <w:pPr>
              <w:pStyle w:val="TableParagraph"/>
              <w:rPr>
                <w:rFonts w:ascii="Times New Roman"/>
                <w:sz w:val="24"/>
              </w:rPr>
            </w:pPr>
          </w:p>
        </w:tc>
      </w:tr>
      <w:tr>
        <w:trPr>
          <w:trHeight w:val="292" w:hRule="atLeast"/>
        </w:trPr>
        <w:tc>
          <w:tcPr>
            <w:tcW w:w="2672" w:type="dxa"/>
          </w:tcPr>
          <w:p>
            <w:pPr>
              <w:pStyle w:val="TableParagraph"/>
              <w:spacing w:line="272" w:lineRule="exact"/>
              <w:ind w:left="107"/>
              <w:rPr>
                <w:b/>
                <w:sz w:val="24"/>
              </w:rPr>
            </w:pPr>
            <w:r>
              <w:rPr>
                <w:b/>
                <w:sz w:val="24"/>
              </w:rPr>
              <w:t>Hospital Pharmacy:</w:t>
            </w:r>
          </w:p>
        </w:tc>
        <w:tc>
          <w:tcPr>
            <w:tcW w:w="2670" w:type="dxa"/>
          </w:tcPr>
          <w:p>
            <w:pPr>
              <w:pStyle w:val="TableParagraph"/>
              <w:rPr>
                <w:rFonts w:ascii="Times New Roman"/>
                <w:sz w:val="20"/>
              </w:rPr>
            </w:pPr>
          </w:p>
        </w:tc>
        <w:tc>
          <w:tcPr>
            <w:tcW w:w="2672" w:type="dxa"/>
          </w:tcPr>
          <w:p>
            <w:pPr>
              <w:pStyle w:val="TableParagraph"/>
              <w:rPr>
                <w:rFonts w:ascii="Times New Roman"/>
                <w:sz w:val="20"/>
              </w:rPr>
            </w:pPr>
          </w:p>
        </w:tc>
        <w:tc>
          <w:tcPr>
            <w:tcW w:w="2672" w:type="dxa"/>
          </w:tcPr>
          <w:p>
            <w:pPr>
              <w:pStyle w:val="TableParagraph"/>
              <w:rPr>
                <w:rFonts w:ascii="Times New Roman"/>
                <w:sz w:val="20"/>
              </w:rPr>
            </w:pPr>
          </w:p>
        </w:tc>
      </w:tr>
      <w:tr>
        <w:trPr>
          <w:trHeight w:val="585" w:hRule="atLeast"/>
        </w:trPr>
        <w:tc>
          <w:tcPr>
            <w:tcW w:w="2672" w:type="dxa"/>
          </w:tcPr>
          <w:p>
            <w:pPr>
              <w:pStyle w:val="TableParagraph"/>
              <w:spacing w:line="292" w:lineRule="exact"/>
              <w:ind w:left="107"/>
              <w:rPr>
                <w:b/>
                <w:sz w:val="24"/>
              </w:rPr>
            </w:pPr>
            <w:r>
              <w:rPr>
                <w:b/>
                <w:sz w:val="24"/>
              </w:rPr>
              <w:t>Out of hours (e.g.</w:t>
            </w:r>
          </w:p>
          <w:p>
            <w:pPr>
              <w:pStyle w:val="TableParagraph"/>
              <w:spacing w:line="273" w:lineRule="exact"/>
              <w:ind w:left="107"/>
              <w:rPr>
                <w:b/>
                <w:sz w:val="24"/>
              </w:rPr>
            </w:pPr>
            <w:r>
              <w:rPr>
                <w:b/>
                <w:sz w:val="24"/>
              </w:rPr>
              <w:t>medical team on call):</w:t>
            </w:r>
          </w:p>
        </w:tc>
        <w:tc>
          <w:tcPr>
            <w:tcW w:w="2670" w:type="dxa"/>
          </w:tcPr>
          <w:p>
            <w:pPr>
              <w:pStyle w:val="TableParagraph"/>
              <w:rPr>
                <w:rFonts w:ascii="Times New Roman"/>
                <w:sz w:val="24"/>
              </w:rPr>
            </w:pPr>
          </w:p>
        </w:tc>
        <w:tc>
          <w:tcPr>
            <w:tcW w:w="2672" w:type="dxa"/>
          </w:tcPr>
          <w:p>
            <w:pPr>
              <w:pStyle w:val="TableParagraph"/>
              <w:rPr>
                <w:rFonts w:ascii="Times New Roman"/>
                <w:sz w:val="24"/>
              </w:rPr>
            </w:pPr>
          </w:p>
        </w:tc>
        <w:tc>
          <w:tcPr>
            <w:tcW w:w="2672" w:type="dxa"/>
          </w:tcPr>
          <w:p>
            <w:pPr>
              <w:pStyle w:val="TableParagraph"/>
              <w:rPr>
                <w:rFonts w:ascii="Times New Roman"/>
                <w:sz w:val="24"/>
              </w:rPr>
            </w:pPr>
          </w:p>
        </w:tc>
      </w:tr>
    </w:tbl>
    <w:sectPr>
      <w:pgSz w:w="11910" w:h="16840"/>
      <w:pgMar w:header="541" w:footer="1020" w:top="1600" w:bottom="1200" w:left="30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9.490005pt;margin-top:779.935974pt;width:24.55pt;height:14pt;mso-position-horizontal-relative:page;mso-position-vertical-relative:page;z-index:-19312" type="#_x0000_t202" filled="false" stroked="false">
          <v:textbox inset="0,0,0,0">
            <w:txbxContent>
              <w:p>
                <w:pPr>
                  <w:spacing w:line="264" w:lineRule="exact" w:before="0"/>
                  <w:ind w:left="20" w:right="0" w:firstLine="0"/>
                  <w:jc w:val="left"/>
                  <w:rPr>
                    <w:b/>
                    <w:sz w:val="24"/>
                  </w:rPr>
                </w:pPr>
                <w:r>
                  <w:rPr>
                    <w:b/>
                    <w:sz w:val="24"/>
                  </w:rPr>
                  <w:t>V2.0</w:t>
                </w:r>
              </w:p>
            </w:txbxContent>
          </v:textbox>
          <w10:wrap type="none"/>
        </v:shape>
      </w:pict>
    </w:r>
    <w:r>
      <w:rPr/>
      <w:pict>
        <v:shape style="position:absolute;margin-left:35pt;margin-top:780.656006pt;width:51.45pt;height:13.05pt;mso-position-horizontal-relative:page;mso-position-vertical-relative:page;z-index:-19288" type="#_x0000_t202" filled="false" stroked="false">
          <v:textbox inset="0,0,0,0">
            <w:txbxContent>
              <w:p>
                <w:pPr>
                  <w:spacing w:line="245" w:lineRule="exact" w:before="0"/>
                  <w:ind w:left="20" w:right="0" w:firstLine="0"/>
                  <w:jc w:val="left"/>
                  <w:rPr>
                    <w:b/>
                    <w:sz w:val="22"/>
                  </w:rPr>
                </w:pPr>
                <w:r>
                  <w:rPr>
                    <w:sz w:val="22"/>
                  </w:rPr>
                  <w:t>Page </w:t>
                </w:r>
                <w:r>
                  <w:rPr/>
                  <w:fldChar w:fldCharType="begin"/>
                </w:r>
                <w:r>
                  <w:rPr>
                    <w:b/>
                    <w:sz w:val="22"/>
                  </w:rPr>
                  <w:instrText> PAGE </w:instrText>
                </w:r>
                <w:r>
                  <w:rPr/>
                  <w:fldChar w:fldCharType="separate"/>
                </w:r>
                <w:r>
                  <w:rPr/>
                  <w:t>1</w:t>
                </w:r>
                <w:r>
                  <w:rPr/>
                  <w:fldChar w:fldCharType="end"/>
                </w:r>
                <w:r>
                  <w:rPr>
                    <w:b/>
                    <w:sz w:val="22"/>
                  </w:rPr>
                  <w:t> </w:t>
                </w:r>
                <w:r>
                  <w:rPr>
                    <w:sz w:val="22"/>
                  </w:rPr>
                  <w:t>of </w:t>
                </w:r>
                <w:r>
                  <w:rPr>
                    <w:b/>
                    <w:sz w:val="22"/>
                  </w:rPr>
                  <w:t>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6047">
          <wp:simplePos x="0" y="0"/>
          <wp:positionH relativeFrom="page">
            <wp:posOffset>3596709</wp:posOffset>
          </wp:positionH>
          <wp:positionV relativeFrom="page">
            <wp:posOffset>343681</wp:posOffset>
          </wp:positionV>
          <wp:extent cx="1782801" cy="536135"/>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782801" cy="536135"/>
                  </a:xfrm>
                  <a:prstGeom prst="rect">
                    <a:avLst/>
                  </a:prstGeom>
                </pic:spPr>
              </pic:pic>
            </a:graphicData>
          </a:graphic>
        </wp:anchor>
      </w:drawing>
    </w:r>
    <w:r>
      <w:rPr/>
      <w:drawing>
        <wp:anchor distT="0" distB="0" distL="0" distR="0" allowOverlap="1" layoutInCell="1" locked="0" behindDoc="1" simplePos="0" relativeHeight="268416071">
          <wp:simplePos x="0" y="0"/>
          <wp:positionH relativeFrom="page">
            <wp:posOffset>5722893</wp:posOffset>
          </wp:positionH>
          <wp:positionV relativeFrom="page">
            <wp:posOffset>343681</wp:posOffset>
          </wp:positionV>
          <wp:extent cx="1677903" cy="53613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677903" cy="536135"/>
                  </a:xfrm>
                  <a:prstGeom prst="rect">
                    <a:avLst/>
                  </a:prstGeom>
                </pic:spPr>
              </pic:pic>
            </a:graphicData>
          </a:graphic>
        </wp:anchor>
      </w:drawing>
    </w:r>
    <w:r>
      <w:rPr/>
      <w:drawing>
        <wp:anchor distT="0" distB="0" distL="0" distR="0" allowOverlap="1" layoutInCell="1" locked="0" behindDoc="1" simplePos="0" relativeHeight="268416095">
          <wp:simplePos x="0" y="0"/>
          <wp:positionH relativeFrom="page">
            <wp:posOffset>457200</wp:posOffset>
          </wp:positionH>
          <wp:positionV relativeFrom="page">
            <wp:posOffset>449579</wp:posOffset>
          </wp:positionV>
          <wp:extent cx="1728216" cy="39941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728216" cy="39941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71.460007pt;margin-top:59.089981pt;width:105.05pt;height:11pt;mso-position-horizontal-relative:page;mso-position-vertical-relative:page;z-index:-19336" type="#_x0000_t202" filled="false" stroked="false">
          <v:textbox inset="0,0,0,0">
            <w:txbxContent>
              <w:p>
                <w:pPr>
                  <w:spacing w:line="203" w:lineRule="exact" w:before="0"/>
                  <w:ind w:left="20" w:right="0" w:firstLine="0"/>
                  <w:jc w:val="left"/>
                  <w:rPr>
                    <w:sz w:val="18"/>
                  </w:rPr>
                </w:pPr>
                <w:r>
                  <w:rPr>
                    <w:sz w:val="18"/>
                  </w:rPr>
                  <w:t>Working in Partnership with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420" w:hanging="178"/>
        <w:jc w:val="left"/>
      </w:pPr>
      <w:rPr>
        <w:rFonts w:hint="default" w:ascii="Calibri" w:hAnsi="Calibri" w:eastAsia="Calibri" w:cs="Calibri"/>
        <w:spacing w:val="-2"/>
        <w:w w:val="100"/>
        <w:sz w:val="18"/>
        <w:szCs w:val="18"/>
        <w:lang w:val="en-gb" w:eastAsia="en-gb" w:bidi="en-gb"/>
      </w:rPr>
    </w:lvl>
    <w:lvl w:ilvl="1">
      <w:start w:val="0"/>
      <w:numFmt w:val="bullet"/>
      <w:lvlText w:val="•"/>
      <w:lvlJc w:val="left"/>
      <w:pPr>
        <w:ind w:left="1528" w:hanging="178"/>
      </w:pPr>
      <w:rPr>
        <w:rFonts w:hint="default"/>
        <w:lang w:val="en-gb" w:eastAsia="en-gb" w:bidi="en-gb"/>
      </w:rPr>
    </w:lvl>
    <w:lvl w:ilvl="2">
      <w:start w:val="0"/>
      <w:numFmt w:val="bullet"/>
      <w:lvlText w:val="•"/>
      <w:lvlJc w:val="left"/>
      <w:pPr>
        <w:ind w:left="2637" w:hanging="178"/>
      </w:pPr>
      <w:rPr>
        <w:rFonts w:hint="default"/>
        <w:lang w:val="en-gb" w:eastAsia="en-gb" w:bidi="en-gb"/>
      </w:rPr>
    </w:lvl>
    <w:lvl w:ilvl="3">
      <w:start w:val="0"/>
      <w:numFmt w:val="bullet"/>
      <w:lvlText w:val="•"/>
      <w:lvlJc w:val="left"/>
      <w:pPr>
        <w:ind w:left="3745" w:hanging="178"/>
      </w:pPr>
      <w:rPr>
        <w:rFonts w:hint="default"/>
        <w:lang w:val="en-gb" w:eastAsia="en-gb" w:bidi="en-gb"/>
      </w:rPr>
    </w:lvl>
    <w:lvl w:ilvl="4">
      <w:start w:val="0"/>
      <w:numFmt w:val="bullet"/>
      <w:lvlText w:val="•"/>
      <w:lvlJc w:val="left"/>
      <w:pPr>
        <w:ind w:left="4854" w:hanging="178"/>
      </w:pPr>
      <w:rPr>
        <w:rFonts w:hint="default"/>
        <w:lang w:val="en-gb" w:eastAsia="en-gb" w:bidi="en-gb"/>
      </w:rPr>
    </w:lvl>
    <w:lvl w:ilvl="5">
      <w:start w:val="0"/>
      <w:numFmt w:val="bullet"/>
      <w:lvlText w:val="•"/>
      <w:lvlJc w:val="left"/>
      <w:pPr>
        <w:ind w:left="5963" w:hanging="178"/>
      </w:pPr>
      <w:rPr>
        <w:rFonts w:hint="default"/>
        <w:lang w:val="en-gb" w:eastAsia="en-gb" w:bidi="en-gb"/>
      </w:rPr>
    </w:lvl>
    <w:lvl w:ilvl="6">
      <w:start w:val="0"/>
      <w:numFmt w:val="bullet"/>
      <w:lvlText w:val="•"/>
      <w:lvlJc w:val="left"/>
      <w:pPr>
        <w:ind w:left="7071" w:hanging="178"/>
      </w:pPr>
      <w:rPr>
        <w:rFonts w:hint="default"/>
        <w:lang w:val="en-gb" w:eastAsia="en-gb" w:bidi="en-gb"/>
      </w:rPr>
    </w:lvl>
    <w:lvl w:ilvl="7">
      <w:start w:val="0"/>
      <w:numFmt w:val="bullet"/>
      <w:lvlText w:val="•"/>
      <w:lvlJc w:val="left"/>
      <w:pPr>
        <w:ind w:left="8180" w:hanging="178"/>
      </w:pPr>
      <w:rPr>
        <w:rFonts w:hint="default"/>
        <w:lang w:val="en-gb" w:eastAsia="en-gb" w:bidi="en-gb"/>
      </w:rPr>
    </w:lvl>
    <w:lvl w:ilvl="8">
      <w:start w:val="0"/>
      <w:numFmt w:val="bullet"/>
      <w:lvlText w:val="•"/>
      <w:lvlJc w:val="left"/>
      <w:pPr>
        <w:ind w:left="9289" w:hanging="178"/>
      </w:pPr>
      <w:rPr>
        <w:rFonts w:hint="default"/>
        <w:lang w:val="en-gb" w:eastAsia="en-gb" w:bidi="en-gb"/>
      </w:rPr>
    </w:lvl>
  </w:abstractNum>
  <w:abstractNum w:abstractNumId="9">
    <w:multiLevelType w:val="hybridMultilevel"/>
    <w:lvl w:ilvl="0">
      <w:start w:val="0"/>
      <w:numFmt w:val="bullet"/>
      <w:lvlText w:val=""/>
      <w:lvlJc w:val="left"/>
      <w:pPr>
        <w:ind w:left="823" w:hanging="361"/>
      </w:pPr>
      <w:rPr>
        <w:rFonts w:hint="default" w:ascii="Symbol" w:hAnsi="Symbol" w:eastAsia="Symbol" w:cs="Symbol"/>
        <w:w w:val="100"/>
        <w:sz w:val="22"/>
        <w:szCs w:val="22"/>
        <w:lang w:val="en-gb" w:eastAsia="en-gb" w:bidi="en-gb"/>
      </w:rPr>
    </w:lvl>
    <w:lvl w:ilvl="1">
      <w:start w:val="0"/>
      <w:numFmt w:val="bullet"/>
      <w:lvlText w:val="•"/>
      <w:lvlJc w:val="left"/>
      <w:pPr>
        <w:ind w:left="1805" w:hanging="361"/>
      </w:pPr>
      <w:rPr>
        <w:rFonts w:hint="default"/>
        <w:lang w:val="en-gb" w:eastAsia="en-gb" w:bidi="en-gb"/>
      </w:rPr>
    </w:lvl>
    <w:lvl w:ilvl="2">
      <w:start w:val="0"/>
      <w:numFmt w:val="bullet"/>
      <w:lvlText w:val="•"/>
      <w:lvlJc w:val="left"/>
      <w:pPr>
        <w:ind w:left="2790" w:hanging="361"/>
      </w:pPr>
      <w:rPr>
        <w:rFonts w:hint="default"/>
        <w:lang w:val="en-gb" w:eastAsia="en-gb" w:bidi="en-gb"/>
      </w:rPr>
    </w:lvl>
    <w:lvl w:ilvl="3">
      <w:start w:val="0"/>
      <w:numFmt w:val="bullet"/>
      <w:lvlText w:val="•"/>
      <w:lvlJc w:val="left"/>
      <w:pPr>
        <w:ind w:left="3776" w:hanging="361"/>
      </w:pPr>
      <w:rPr>
        <w:rFonts w:hint="default"/>
        <w:lang w:val="en-gb" w:eastAsia="en-gb" w:bidi="en-gb"/>
      </w:rPr>
    </w:lvl>
    <w:lvl w:ilvl="4">
      <w:start w:val="0"/>
      <w:numFmt w:val="bullet"/>
      <w:lvlText w:val="•"/>
      <w:lvlJc w:val="left"/>
      <w:pPr>
        <w:ind w:left="4761" w:hanging="361"/>
      </w:pPr>
      <w:rPr>
        <w:rFonts w:hint="default"/>
        <w:lang w:val="en-gb" w:eastAsia="en-gb" w:bidi="en-gb"/>
      </w:rPr>
    </w:lvl>
    <w:lvl w:ilvl="5">
      <w:start w:val="0"/>
      <w:numFmt w:val="bullet"/>
      <w:lvlText w:val="•"/>
      <w:lvlJc w:val="left"/>
      <w:pPr>
        <w:ind w:left="5747" w:hanging="361"/>
      </w:pPr>
      <w:rPr>
        <w:rFonts w:hint="default"/>
        <w:lang w:val="en-gb" w:eastAsia="en-gb" w:bidi="en-gb"/>
      </w:rPr>
    </w:lvl>
    <w:lvl w:ilvl="6">
      <w:start w:val="0"/>
      <w:numFmt w:val="bullet"/>
      <w:lvlText w:val="•"/>
      <w:lvlJc w:val="left"/>
      <w:pPr>
        <w:ind w:left="6732" w:hanging="361"/>
      </w:pPr>
      <w:rPr>
        <w:rFonts w:hint="default"/>
        <w:lang w:val="en-gb" w:eastAsia="en-gb" w:bidi="en-gb"/>
      </w:rPr>
    </w:lvl>
    <w:lvl w:ilvl="7">
      <w:start w:val="0"/>
      <w:numFmt w:val="bullet"/>
      <w:lvlText w:val="•"/>
      <w:lvlJc w:val="left"/>
      <w:pPr>
        <w:ind w:left="7718" w:hanging="361"/>
      </w:pPr>
      <w:rPr>
        <w:rFonts w:hint="default"/>
        <w:lang w:val="en-gb" w:eastAsia="en-gb" w:bidi="en-gb"/>
      </w:rPr>
    </w:lvl>
    <w:lvl w:ilvl="8">
      <w:start w:val="0"/>
      <w:numFmt w:val="bullet"/>
      <w:lvlText w:val="•"/>
      <w:lvlJc w:val="left"/>
      <w:pPr>
        <w:ind w:left="8703" w:hanging="361"/>
      </w:pPr>
      <w:rPr>
        <w:rFonts w:hint="default"/>
        <w:lang w:val="en-gb" w:eastAsia="en-gb" w:bidi="en-gb"/>
      </w:rPr>
    </w:lvl>
  </w:abstractNum>
  <w:abstractNum w:abstractNumId="8">
    <w:multiLevelType w:val="hybridMultilevel"/>
    <w:lvl w:ilvl="0">
      <w:start w:val="0"/>
      <w:numFmt w:val="bullet"/>
      <w:lvlText w:val=""/>
      <w:lvlJc w:val="left"/>
      <w:pPr>
        <w:ind w:left="780" w:hanging="360"/>
      </w:pPr>
      <w:rPr>
        <w:rFonts w:hint="default" w:ascii="Symbol" w:hAnsi="Symbol" w:eastAsia="Symbol" w:cs="Symbol"/>
        <w:w w:val="100"/>
        <w:sz w:val="22"/>
        <w:szCs w:val="22"/>
        <w:lang w:val="en-gb" w:eastAsia="en-gb" w:bidi="en-gb"/>
      </w:rPr>
    </w:lvl>
    <w:lvl w:ilvl="1">
      <w:start w:val="0"/>
      <w:numFmt w:val="bullet"/>
      <w:lvlText w:val="•"/>
      <w:lvlJc w:val="left"/>
      <w:pPr>
        <w:ind w:left="1852" w:hanging="360"/>
      </w:pPr>
      <w:rPr>
        <w:rFonts w:hint="default"/>
        <w:lang w:val="en-gb" w:eastAsia="en-gb" w:bidi="en-gb"/>
      </w:rPr>
    </w:lvl>
    <w:lvl w:ilvl="2">
      <w:start w:val="0"/>
      <w:numFmt w:val="bullet"/>
      <w:lvlText w:val="•"/>
      <w:lvlJc w:val="left"/>
      <w:pPr>
        <w:ind w:left="2925" w:hanging="360"/>
      </w:pPr>
      <w:rPr>
        <w:rFonts w:hint="default"/>
        <w:lang w:val="en-gb" w:eastAsia="en-gb" w:bidi="en-gb"/>
      </w:rPr>
    </w:lvl>
    <w:lvl w:ilvl="3">
      <w:start w:val="0"/>
      <w:numFmt w:val="bullet"/>
      <w:lvlText w:val="•"/>
      <w:lvlJc w:val="left"/>
      <w:pPr>
        <w:ind w:left="3997" w:hanging="360"/>
      </w:pPr>
      <w:rPr>
        <w:rFonts w:hint="default"/>
        <w:lang w:val="en-gb" w:eastAsia="en-gb" w:bidi="en-gb"/>
      </w:rPr>
    </w:lvl>
    <w:lvl w:ilvl="4">
      <w:start w:val="0"/>
      <w:numFmt w:val="bullet"/>
      <w:lvlText w:val="•"/>
      <w:lvlJc w:val="left"/>
      <w:pPr>
        <w:ind w:left="5070" w:hanging="360"/>
      </w:pPr>
      <w:rPr>
        <w:rFonts w:hint="default"/>
        <w:lang w:val="en-gb" w:eastAsia="en-gb" w:bidi="en-gb"/>
      </w:rPr>
    </w:lvl>
    <w:lvl w:ilvl="5">
      <w:start w:val="0"/>
      <w:numFmt w:val="bullet"/>
      <w:lvlText w:val="•"/>
      <w:lvlJc w:val="left"/>
      <w:pPr>
        <w:ind w:left="6143" w:hanging="360"/>
      </w:pPr>
      <w:rPr>
        <w:rFonts w:hint="default"/>
        <w:lang w:val="en-gb" w:eastAsia="en-gb" w:bidi="en-gb"/>
      </w:rPr>
    </w:lvl>
    <w:lvl w:ilvl="6">
      <w:start w:val="0"/>
      <w:numFmt w:val="bullet"/>
      <w:lvlText w:val="•"/>
      <w:lvlJc w:val="left"/>
      <w:pPr>
        <w:ind w:left="7215" w:hanging="360"/>
      </w:pPr>
      <w:rPr>
        <w:rFonts w:hint="default"/>
        <w:lang w:val="en-gb" w:eastAsia="en-gb" w:bidi="en-gb"/>
      </w:rPr>
    </w:lvl>
    <w:lvl w:ilvl="7">
      <w:start w:val="0"/>
      <w:numFmt w:val="bullet"/>
      <w:lvlText w:val="•"/>
      <w:lvlJc w:val="left"/>
      <w:pPr>
        <w:ind w:left="8288" w:hanging="360"/>
      </w:pPr>
      <w:rPr>
        <w:rFonts w:hint="default"/>
        <w:lang w:val="en-gb" w:eastAsia="en-gb" w:bidi="en-gb"/>
      </w:rPr>
    </w:lvl>
    <w:lvl w:ilvl="8">
      <w:start w:val="0"/>
      <w:numFmt w:val="bullet"/>
      <w:lvlText w:val="•"/>
      <w:lvlJc w:val="left"/>
      <w:pPr>
        <w:ind w:left="9361" w:hanging="360"/>
      </w:pPr>
      <w:rPr>
        <w:rFonts w:hint="default"/>
        <w:lang w:val="en-gb" w:eastAsia="en-gb" w:bidi="en-gb"/>
      </w:rPr>
    </w:lvl>
  </w:abstractNum>
  <w:abstractNum w:abstractNumId="7">
    <w:multiLevelType w:val="hybridMultilevel"/>
    <w:lvl w:ilvl="0">
      <w:start w:val="0"/>
      <w:numFmt w:val="bullet"/>
      <w:lvlText w:val=""/>
      <w:lvlJc w:val="left"/>
      <w:pPr>
        <w:ind w:left="828" w:hanging="361"/>
      </w:pPr>
      <w:rPr>
        <w:rFonts w:hint="default" w:ascii="Symbol" w:hAnsi="Symbol" w:eastAsia="Symbol" w:cs="Symbol"/>
        <w:w w:val="100"/>
        <w:sz w:val="22"/>
        <w:szCs w:val="22"/>
        <w:lang w:val="en-gb" w:eastAsia="en-gb" w:bidi="en-gb"/>
      </w:rPr>
    </w:lvl>
    <w:lvl w:ilvl="1">
      <w:start w:val="0"/>
      <w:numFmt w:val="bullet"/>
      <w:lvlText w:val="•"/>
      <w:lvlJc w:val="left"/>
      <w:pPr>
        <w:ind w:left="1839" w:hanging="361"/>
      </w:pPr>
      <w:rPr>
        <w:rFonts w:hint="default"/>
        <w:lang w:val="en-gb" w:eastAsia="en-gb" w:bidi="en-gb"/>
      </w:rPr>
    </w:lvl>
    <w:lvl w:ilvl="2">
      <w:start w:val="0"/>
      <w:numFmt w:val="bullet"/>
      <w:lvlText w:val="•"/>
      <w:lvlJc w:val="left"/>
      <w:pPr>
        <w:ind w:left="2859" w:hanging="361"/>
      </w:pPr>
      <w:rPr>
        <w:rFonts w:hint="default"/>
        <w:lang w:val="en-gb" w:eastAsia="en-gb" w:bidi="en-gb"/>
      </w:rPr>
    </w:lvl>
    <w:lvl w:ilvl="3">
      <w:start w:val="0"/>
      <w:numFmt w:val="bullet"/>
      <w:lvlText w:val="•"/>
      <w:lvlJc w:val="left"/>
      <w:pPr>
        <w:ind w:left="3878" w:hanging="361"/>
      </w:pPr>
      <w:rPr>
        <w:rFonts w:hint="default"/>
        <w:lang w:val="en-gb" w:eastAsia="en-gb" w:bidi="en-gb"/>
      </w:rPr>
    </w:lvl>
    <w:lvl w:ilvl="4">
      <w:start w:val="0"/>
      <w:numFmt w:val="bullet"/>
      <w:lvlText w:val="•"/>
      <w:lvlJc w:val="left"/>
      <w:pPr>
        <w:ind w:left="4898" w:hanging="361"/>
      </w:pPr>
      <w:rPr>
        <w:rFonts w:hint="default"/>
        <w:lang w:val="en-gb" w:eastAsia="en-gb" w:bidi="en-gb"/>
      </w:rPr>
    </w:lvl>
    <w:lvl w:ilvl="5">
      <w:start w:val="0"/>
      <w:numFmt w:val="bullet"/>
      <w:lvlText w:val="•"/>
      <w:lvlJc w:val="left"/>
      <w:pPr>
        <w:ind w:left="5917" w:hanging="361"/>
      </w:pPr>
      <w:rPr>
        <w:rFonts w:hint="default"/>
        <w:lang w:val="en-gb" w:eastAsia="en-gb" w:bidi="en-gb"/>
      </w:rPr>
    </w:lvl>
    <w:lvl w:ilvl="6">
      <w:start w:val="0"/>
      <w:numFmt w:val="bullet"/>
      <w:lvlText w:val="•"/>
      <w:lvlJc w:val="left"/>
      <w:pPr>
        <w:ind w:left="6937" w:hanging="361"/>
      </w:pPr>
      <w:rPr>
        <w:rFonts w:hint="default"/>
        <w:lang w:val="en-gb" w:eastAsia="en-gb" w:bidi="en-gb"/>
      </w:rPr>
    </w:lvl>
    <w:lvl w:ilvl="7">
      <w:start w:val="0"/>
      <w:numFmt w:val="bullet"/>
      <w:lvlText w:val="•"/>
      <w:lvlJc w:val="left"/>
      <w:pPr>
        <w:ind w:left="7956" w:hanging="361"/>
      </w:pPr>
      <w:rPr>
        <w:rFonts w:hint="default"/>
        <w:lang w:val="en-gb" w:eastAsia="en-gb" w:bidi="en-gb"/>
      </w:rPr>
    </w:lvl>
    <w:lvl w:ilvl="8">
      <w:start w:val="0"/>
      <w:numFmt w:val="bullet"/>
      <w:lvlText w:val="•"/>
      <w:lvlJc w:val="left"/>
      <w:pPr>
        <w:ind w:left="8976" w:hanging="361"/>
      </w:pPr>
      <w:rPr>
        <w:rFonts w:hint="default"/>
        <w:lang w:val="en-gb" w:eastAsia="en-gb" w:bidi="en-gb"/>
      </w:rPr>
    </w:lvl>
  </w:abstractNum>
  <w:abstractNum w:abstractNumId="6">
    <w:multiLevelType w:val="hybridMultilevel"/>
    <w:lvl w:ilvl="0">
      <w:start w:val="0"/>
      <w:numFmt w:val="bullet"/>
      <w:lvlText w:val=""/>
      <w:lvlJc w:val="left"/>
      <w:pPr>
        <w:ind w:left="821" w:hanging="354"/>
      </w:pPr>
      <w:rPr>
        <w:rFonts w:hint="default" w:ascii="Symbol" w:hAnsi="Symbol" w:eastAsia="Symbol" w:cs="Symbol"/>
        <w:w w:val="100"/>
        <w:sz w:val="22"/>
        <w:szCs w:val="22"/>
        <w:lang w:val="en-gb" w:eastAsia="en-gb" w:bidi="en-gb"/>
      </w:rPr>
    </w:lvl>
    <w:lvl w:ilvl="1">
      <w:start w:val="0"/>
      <w:numFmt w:val="bullet"/>
      <w:lvlText w:val="•"/>
      <w:lvlJc w:val="left"/>
      <w:pPr>
        <w:ind w:left="1839" w:hanging="354"/>
      </w:pPr>
      <w:rPr>
        <w:rFonts w:hint="default"/>
        <w:lang w:val="en-gb" w:eastAsia="en-gb" w:bidi="en-gb"/>
      </w:rPr>
    </w:lvl>
    <w:lvl w:ilvl="2">
      <w:start w:val="0"/>
      <w:numFmt w:val="bullet"/>
      <w:lvlText w:val="•"/>
      <w:lvlJc w:val="left"/>
      <w:pPr>
        <w:ind w:left="2859" w:hanging="354"/>
      </w:pPr>
      <w:rPr>
        <w:rFonts w:hint="default"/>
        <w:lang w:val="en-gb" w:eastAsia="en-gb" w:bidi="en-gb"/>
      </w:rPr>
    </w:lvl>
    <w:lvl w:ilvl="3">
      <w:start w:val="0"/>
      <w:numFmt w:val="bullet"/>
      <w:lvlText w:val="•"/>
      <w:lvlJc w:val="left"/>
      <w:pPr>
        <w:ind w:left="3878" w:hanging="354"/>
      </w:pPr>
      <w:rPr>
        <w:rFonts w:hint="default"/>
        <w:lang w:val="en-gb" w:eastAsia="en-gb" w:bidi="en-gb"/>
      </w:rPr>
    </w:lvl>
    <w:lvl w:ilvl="4">
      <w:start w:val="0"/>
      <w:numFmt w:val="bullet"/>
      <w:lvlText w:val="•"/>
      <w:lvlJc w:val="left"/>
      <w:pPr>
        <w:ind w:left="4898" w:hanging="354"/>
      </w:pPr>
      <w:rPr>
        <w:rFonts w:hint="default"/>
        <w:lang w:val="en-gb" w:eastAsia="en-gb" w:bidi="en-gb"/>
      </w:rPr>
    </w:lvl>
    <w:lvl w:ilvl="5">
      <w:start w:val="0"/>
      <w:numFmt w:val="bullet"/>
      <w:lvlText w:val="•"/>
      <w:lvlJc w:val="left"/>
      <w:pPr>
        <w:ind w:left="5917" w:hanging="354"/>
      </w:pPr>
      <w:rPr>
        <w:rFonts w:hint="default"/>
        <w:lang w:val="en-gb" w:eastAsia="en-gb" w:bidi="en-gb"/>
      </w:rPr>
    </w:lvl>
    <w:lvl w:ilvl="6">
      <w:start w:val="0"/>
      <w:numFmt w:val="bullet"/>
      <w:lvlText w:val="•"/>
      <w:lvlJc w:val="left"/>
      <w:pPr>
        <w:ind w:left="6937" w:hanging="354"/>
      </w:pPr>
      <w:rPr>
        <w:rFonts w:hint="default"/>
        <w:lang w:val="en-gb" w:eastAsia="en-gb" w:bidi="en-gb"/>
      </w:rPr>
    </w:lvl>
    <w:lvl w:ilvl="7">
      <w:start w:val="0"/>
      <w:numFmt w:val="bullet"/>
      <w:lvlText w:val="•"/>
      <w:lvlJc w:val="left"/>
      <w:pPr>
        <w:ind w:left="7956" w:hanging="354"/>
      </w:pPr>
      <w:rPr>
        <w:rFonts w:hint="default"/>
        <w:lang w:val="en-gb" w:eastAsia="en-gb" w:bidi="en-gb"/>
      </w:rPr>
    </w:lvl>
    <w:lvl w:ilvl="8">
      <w:start w:val="0"/>
      <w:numFmt w:val="bullet"/>
      <w:lvlText w:val="•"/>
      <w:lvlJc w:val="left"/>
      <w:pPr>
        <w:ind w:left="8976" w:hanging="354"/>
      </w:pPr>
      <w:rPr>
        <w:rFonts w:hint="default"/>
        <w:lang w:val="en-gb" w:eastAsia="en-gb" w:bidi="en-gb"/>
      </w:rPr>
    </w:lvl>
  </w:abstractNum>
  <w:abstractNum w:abstractNumId="5">
    <w:multiLevelType w:val="hybridMultilevel"/>
    <w:lvl w:ilvl="0">
      <w:start w:val="0"/>
      <w:numFmt w:val="bullet"/>
      <w:lvlText w:val=""/>
      <w:lvlJc w:val="left"/>
      <w:pPr>
        <w:ind w:left="828" w:hanging="361"/>
      </w:pPr>
      <w:rPr>
        <w:rFonts w:hint="default" w:ascii="Symbol" w:hAnsi="Symbol" w:eastAsia="Symbol" w:cs="Symbol"/>
        <w:w w:val="100"/>
        <w:sz w:val="22"/>
        <w:szCs w:val="22"/>
        <w:lang w:val="en-gb" w:eastAsia="en-gb" w:bidi="en-gb"/>
      </w:rPr>
    </w:lvl>
    <w:lvl w:ilvl="1">
      <w:start w:val="0"/>
      <w:numFmt w:val="bullet"/>
      <w:lvlText w:val="•"/>
      <w:lvlJc w:val="left"/>
      <w:pPr>
        <w:ind w:left="1839" w:hanging="361"/>
      </w:pPr>
      <w:rPr>
        <w:rFonts w:hint="default"/>
        <w:lang w:val="en-gb" w:eastAsia="en-gb" w:bidi="en-gb"/>
      </w:rPr>
    </w:lvl>
    <w:lvl w:ilvl="2">
      <w:start w:val="0"/>
      <w:numFmt w:val="bullet"/>
      <w:lvlText w:val="•"/>
      <w:lvlJc w:val="left"/>
      <w:pPr>
        <w:ind w:left="2859" w:hanging="361"/>
      </w:pPr>
      <w:rPr>
        <w:rFonts w:hint="default"/>
        <w:lang w:val="en-gb" w:eastAsia="en-gb" w:bidi="en-gb"/>
      </w:rPr>
    </w:lvl>
    <w:lvl w:ilvl="3">
      <w:start w:val="0"/>
      <w:numFmt w:val="bullet"/>
      <w:lvlText w:val="•"/>
      <w:lvlJc w:val="left"/>
      <w:pPr>
        <w:ind w:left="3878" w:hanging="361"/>
      </w:pPr>
      <w:rPr>
        <w:rFonts w:hint="default"/>
        <w:lang w:val="en-gb" w:eastAsia="en-gb" w:bidi="en-gb"/>
      </w:rPr>
    </w:lvl>
    <w:lvl w:ilvl="4">
      <w:start w:val="0"/>
      <w:numFmt w:val="bullet"/>
      <w:lvlText w:val="•"/>
      <w:lvlJc w:val="left"/>
      <w:pPr>
        <w:ind w:left="4898" w:hanging="361"/>
      </w:pPr>
      <w:rPr>
        <w:rFonts w:hint="default"/>
        <w:lang w:val="en-gb" w:eastAsia="en-gb" w:bidi="en-gb"/>
      </w:rPr>
    </w:lvl>
    <w:lvl w:ilvl="5">
      <w:start w:val="0"/>
      <w:numFmt w:val="bullet"/>
      <w:lvlText w:val="•"/>
      <w:lvlJc w:val="left"/>
      <w:pPr>
        <w:ind w:left="5917" w:hanging="361"/>
      </w:pPr>
      <w:rPr>
        <w:rFonts w:hint="default"/>
        <w:lang w:val="en-gb" w:eastAsia="en-gb" w:bidi="en-gb"/>
      </w:rPr>
    </w:lvl>
    <w:lvl w:ilvl="6">
      <w:start w:val="0"/>
      <w:numFmt w:val="bullet"/>
      <w:lvlText w:val="•"/>
      <w:lvlJc w:val="left"/>
      <w:pPr>
        <w:ind w:left="6937" w:hanging="361"/>
      </w:pPr>
      <w:rPr>
        <w:rFonts w:hint="default"/>
        <w:lang w:val="en-gb" w:eastAsia="en-gb" w:bidi="en-gb"/>
      </w:rPr>
    </w:lvl>
    <w:lvl w:ilvl="7">
      <w:start w:val="0"/>
      <w:numFmt w:val="bullet"/>
      <w:lvlText w:val="•"/>
      <w:lvlJc w:val="left"/>
      <w:pPr>
        <w:ind w:left="7956" w:hanging="361"/>
      </w:pPr>
      <w:rPr>
        <w:rFonts w:hint="default"/>
        <w:lang w:val="en-gb" w:eastAsia="en-gb" w:bidi="en-gb"/>
      </w:rPr>
    </w:lvl>
    <w:lvl w:ilvl="8">
      <w:start w:val="0"/>
      <w:numFmt w:val="bullet"/>
      <w:lvlText w:val="•"/>
      <w:lvlJc w:val="left"/>
      <w:pPr>
        <w:ind w:left="8976" w:hanging="361"/>
      </w:pPr>
      <w:rPr>
        <w:rFonts w:hint="default"/>
        <w:lang w:val="en-gb" w:eastAsia="en-gb" w:bidi="en-gb"/>
      </w:rPr>
    </w:lvl>
  </w:abstractNum>
  <w:abstractNum w:abstractNumId="4">
    <w:multiLevelType w:val="hybridMultilevel"/>
    <w:lvl w:ilvl="0">
      <w:start w:val="0"/>
      <w:numFmt w:val="bullet"/>
      <w:lvlText w:val=""/>
      <w:lvlJc w:val="left"/>
      <w:pPr>
        <w:ind w:left="828" w:hanging="361"/>
      </w:pPr>
      <w:rPr>
        <w:rFonts w:hint="default" w:ascii="Symbol" w:hAnsi="Symbol" w:eastAsia="Symbol" w:cs="Symbol"/>
        <w:w w:val="100"/>
        <w:sz w:val="22"/>
        <w:szCs w:val="22"/>
        <w:lang w:val="en-gb" w:eastAsia="en-gb" w:bidi="en-gb"/>
      </w:rPr>
    </w:lvl>
    <w:lvl w:ilvl="1">
      <w:start w:val="0"/>
      <w:numFmt w:val="bullet"/>
      <w:lvlText w:val="•"/>
      <w:lvlJc w:val="left"/>
      <w:pPr>
        <w:ind w:left="1839" w:hanging="361"/>
      </w:pPr>
      <w:rPr>
        <w:rFonts w:hint="default"/>
        <w:lang w:val="en-gb" w:eastAsia="en-gb" w:bidi="en-gb"/>
      </w:rPr>
    </w:lvl>
    <w:lvl w:ilvl="2">
      <w:start w:val="0"/>
      <w:numFmt w:val="bullet"/>
      <w:lvlText w:val="•"/>
      <w:lvlJc w:val="left"/>
      <w:pPr>
        <w:ind w:left="2859" w:hanging="361"/>
      </w:pPr>
      <w:rPr>
        <w:rFonts w:hint="default"/>
        <w:lang w:val="en-gb" w:eastAsia="en-gb" w:bidi="en-gb"/>
      </w:rPr>
    </w:lvl>
    <w:lvl w:ilvl="3">
      <w:start w:val="0"/>
      <w:numFmt w:val="bullet"/>
      <w:lvlText w:val="•"/>
      <w:lvlJc w:val="left"/>
      <w:pPr>
        <w:ind w:left="3878" w:hanging="361"/>
      </w:pPr>
      <w:rPr>
        <w:rFonts w:hint="default"/>
        <w:lang w:val="en-gb" w:eastAsia="en-gb" w:bidi="en-gb"/>
      </w:rPr>
    </w:lvl>
    <w:lvl w:ilvl="4">
      <w:start w:val="0"/>
      <w:numFmt w:val="bullet"/>
      <w:lvlText w:val="•"/>
      <w:lvlJc w:val="left"/>
      <w:pPr>
        <w:ind w:left="4898" w:hanging="361"/>
      </w:pPr>
      <w:rPr>
        <w:rFonts w:hint="default"/>
        <w:lang w:val="en-gb" w:eastAsia="en-gb" w:bidi="en-gb"/>
      </w:rPr>
    </w:lvl>
    <w:lvl w:ilvl="5">
      <w:start w:val="0"/>
      <w:numFmt w:val="bullet"/>
      <w:lvlText w:val="•"/>
      <w:lvlJc w:val="left"/>
      <w:pPr>
        <w:ind w:left="5917" w:hanging="361"/>
      </w:pPr>
      <w:rPr>
        <w:rFonts w:hint="default"/>
        <w:lang w:val="en-gb" w:eastAsia="en-gb" w:bidi="en-gb"/>
      </w:rPr>
    </w:lvl>
    <w:lvl w:ilvl="6">
      <w:start w:val="0"/>
      <w:numFmt w:val="bullet"/>
      <w:lvlText w:val="•"/>
      <w:lvlJc w:val="left"/>
      <w:pPr>
        <w:ind w:left="6937" w:hanging="361"/>
      </w:pPr>
      <w:rPr>
        <w:rFonts w:hint="default"/>
        <w:lang w:val="en-gb" w:eastAsia="en-gb" w:bidi="en-gb"/>
      </w:rPr>
    </w:lvl>
    <w:lvl w:ilvl="7">
      <w:start w:val="0"/>
      <w:numFmt w:val="bullet"/>
      <w:lvlText w:val="•"/>
      <w:lvlJc w:val="left"/>
      <w:pPr>
        <w:ind w:left="7956" w:hanging="361"/>
      </w:pPr>
      <w:rPr>
        <w:rFonts w:hint="default"/>
        <w:lang w:val="en-gb" w:eastAsia="en-gb" w:bidi="en-gb"/>
      </w:rPr>
    </w:lvl>
    <w:lvl w:ilvl="8">
      <w:start w:val="0"/>
      <w:numFmt w:val="bullet"/>
      <w:lvlText w:val="•"/>
      <w:lvlJc w:val="left"/>
      <w:pPr>
        <w:ind w:left="8976" w:hanging="361"/>
      </w:pPr>
      <w:rPr>
        <w:rFonts w:hint="default"/>
        <w:lang w:val="en-gb" w:eastAsia="en-gb" w:bidi="en-gb"/>
      </w:rPr>
    </w:lvl>
  </w:abstractNum>
  <w:abstractNum w:abstractNumId="3">
    <w:multiLevelType w:val="hybridMultilevel"/>
    <w:lvl w:ilvl="0">
      <w:start w:val="0"/>
      <w:numFmt w:val="bullet"/>
      <w:lvlText w:val=""/>
      <w:lvlJc w:val="left"/>
      <w:pPr>
        <w:ind w:left="828" w:hanging="361"/>
      </w:pPr>
      <w:rPr>
        <w:rFonts w:hint="default" w:ascii="Symbol" w:hAnsi="Symbol" w:eastAsia="Symbol" w:cs="Symbol"/>
        <w:w w:val="100"/>
        <w:sz w:val="22"/>
        <w:szCs w:val="22"/>
        <w:lang w:val="en-gb" w:eastAsia="en-gb" w:bidi="en-gb"/>
      </w:rPr>
    </w:lvl>
    <w:lvl w:ilvl="1">
      <w:start w:val="0"/>
      <w:numFmt w:val="bullet"/>
      <w:lvlText w:val="•"/>
      <w:lvlJc w:val="left"/>
      <w:pPr>
        <w:ind w:left="1839" w:hanging="361"/>
      </w:pPr>
      <w:rPr>
        <w:rFonts w:hint="default"/>
        <w:lang w:val="en-gb" w:eastAsia="en-gb" w:bidi="en-gb"/>
      </w:rPr>
    </w:lvl>
    <w:lvl w:ilvl="2">
      <w:start w:val="0"/>
      <w:numFmt w:val="bullet"/>
      <w:lvlText w:val="•"/>
      <w:lvlJc w:val="left"/>
      <w:pPr>
        <w:ind w:left="2859" w:hanging="361"/>
      </w:pPr>
      <w:rPr>
        <w:rFonts w:hint="default"/>
        <w:lang w:val="en-gb" w:eastAsia="en-gb" w:bidi="en-gb"/>
      </w:rPr>
    </w:lvl>
    <w:lvl w:ilvl="3">
      <w:start w:val="0"/>
      <w:numFmt w:val="bullet"/>
      <w:lvlText w:val="•"/>
      <w:lvlJc w:val="left"/>
      <w:pPr>
        <w:ind w:left="3878" w:hanging="361"/>
      </w:pPr>
      <w:rPr>
        <w:rFonts w:hint="default"/>
        <w:lang w:val="en-gb" w:eastAsia="en-gb" w:bidi="en-gb"/>
      </w:rPr>
    </w:lvl>
    <w:lvl w:ilvl="4">
      <w:start w:val="0"/>
      <w:numFmt w:val="bullet"/>
      <w:lvlText w:val="•"/>
      <w:lvlJc w:val="left"/>
      <w:pPr>
        <w:ind w:left="4898" w:hanging="361"/>
      </w:pPr>
      <w:rPr>
        <w:rFonts w:hint="default"/>
        <w:lang w:val="en-gb" w:eastAsia="en-gb" w:bidi="en-gb"/>
      </w:rPr>
    </w:lvl>
    <w:lvl w:ilvl="5">
      <w:start w:val="0"/>
      <w:numFmt w:val="bullet"/>
      <w:lvlText w:val="•"/>
      <w:lvlJc w:val="left"/>
      <w:pPr>
        <w:ind w:left="5917" w:hanging="361"/>
      </w:pPr>
      <w:rPr>
        <w:rFonts w:hint="default"/>
        <w:lang w:val="en-gb" w:eastAsia="en-gb" w:bidi="en-gb"/>
      </w:rPr>
    </w:lvl>
    <w:lvl w:ilvl="6">
      <w:start w:val="0"/>
      <w:numFmt w:val="bullet"/>
      <w:lvlText w:val="•"/>
      <w:lvlJc w:val="left"/>
      <w:pPr>
        <w:ind w:left="6937" w:hanging="361"/>
      </w:pPr>
      <w:rPr>
        <w:rFonts w:hint="default"/>
        <w:lang w:val="en-gb" w:eastAsia="en-gb" w:bidi="en-gb"/>
      </w:rPr>
    </w:lvl>
    <w:lvl w:ilvl="7">
      <w:start w:val="0"/>
      <w:numFmt w:val="bullet"/>
      <w:lvlText w:val="•"/>
      <w:lvlJc w:val="left"/>
      <w:pPr>
        <w:ind w:left="7956" w:hanging="361"/>
      </w:pPr>
      <w:rPr>
        <w:rFonts w:hint="default"/>
        <w:lang w:val="en-gb" w:eastAsia="en-gb" w:bidi="en-gb"/>
      </w:rPr>
    </w:lvl>
    <w:lvl w:ilvl="8">
      <w:start w:val="0"/>
      <w:numFmt w:val="bullet"/>
      <w:lvlText w:val="•"/>
      <w:lvlJc w:val="left"/>
      <w:pPr>
        <w:ind w:left="8976" w:hanging="361"/>
      </w:pPr>
      <w:rPr>
        <w:rFonts w:hint="default"/>
        <w:lang w:val="en-gb" w:eastAsia="en-gb" w:bidi="en-gb"/>
      </w:rPr>
    </w:lvl>
  </w:abstractNum>
  <w:abstractNum w:abstractNumId="2">
    <w:multiLevelType w:val="hybridMultilevel"/>
    <w:lvl w:ilvl="0">
      <w:start w:val="0"/>
      <w:numFmt w:val="bullet"/>
      <w:lvlText w:val=""/>
      <w:lvlJc w:val="left"/>
      <w:pPr>
        <w:ind w:left="828" w:hanging="361"/>
      </w:pPr>
      <w:rPr>
        <w:rFonts w:hint="default" w:ascii="Symbol" w:hAnsi="Symbol" w:eastAsia="Symbol" w:cs="Symbol"/>
        <w:w w:val="100"/>
        <w:sz w:val="22"/>
        <w:szCs w:val="22"/>
        <w:lang w:val="en-gb" w:eastAsia="en-gb" w:bidi="en-gb"/>
      </w:rPr>
    </w:lvl>
    <w:lvl w:ilvl="1">
      <w:start w:val="0"/>
      <w:numFmt w:val="bullet"/>
      <w:lvlText w:val="•"/>
      <w:lvlJc w:val="left"/>
      <w:pPr>
        <w:ind w:left="1839" w:hanging="361"/>
      </w:pPr>
      <w:rPr>
        <w:rFonts w:hint="default"/>
        <w:lang w:val="en-gb" w:eastAsia="en-gb" w:bidi="en-gb"/>
      </w:rPr>
    </w:lvl>
    <w:lvl w:ilvl="2">
      <w:start w:val="0"/>
      <w:numFmt w:val="bullet"/>
      <w:lvlText w:val="•"/>
      <w:lvlJc w:val="left"/>
      <w:pPr>
        <w:ind w:left="2859" w:hanging="361"/>
      </w:pPr>
      <w:rPr>
        <w:rFonts w:hint="default"/>
        <w:lang w:val="en-gb" w:eastAsia="en-gb" w:bidi="en-gb"/>
      </w:rPr>
    </w:lvl>
    <w:lvl w:ilvl="3">
      <w:start w:val="0"/>
      <w:numFmt w:val="bullet"/>
      <w:lvlText w:val="•"/>
      <w:lvlJc w:val="left"/>
      <w:pPr>
        <w:ind w:left="3878" w:hanging="361"/>
      </w:pPr>
      <w:rPr>
        <w:rFonts w:hint="default"/>
        <w:lang w:val="en-gb" w:eastAsia="en-gb" w:bidi="en-gb"/>
      </w:rPr>
    </w:lvl>
    <w:lvl w:ilvl="4">
      <w:start w:val="0"/>
      <w:numFmt w:val="bullet"/>
      <w:lvlText w:val="•"/>
      <w:lvlJc w:val="left"/>
      <w:pPr>
        <w:ind w:left="4898" w:hanging="361"/>
      </w:pPr>
      <w:rPr>
        <w:rFonts w:hint="default"/>
        <w:lang w:val="en-gb" w:eastAsia="en-gb" w:bidi="en-gb"/>
      </w:rPr>
    </w:lvl>
    <w:lvl w:ilvl="5">
      <w:start w:val="0"/>
      <w:numFmt w:val="bullet"/>
      <w:lvlText w:val="•"/>
      <w:lvlJc w:val="left"/>
      <w:pPr>
        <w:ind w:left="5917" w:hanging="361"/>
      </w:pPr>
      <w:rPr>
        <w:rFonts w:hint="default"/>
        <w:lang w:val="en-gb" w:eastAsia="en-gb" w:bidi="en-gb"/>
      </w:rPr>
    </w:lvl>
    <w:lvl w:ilvl="6">
      <w:start w:val="0"/>
      <w:numFmt w:val="bullet"/>
      <w:lvlText w:val="•"/>
      <w:lvlJc w:val="left"/>
      <w:pPr>
        <w:ind w:left="6937" w:hanging="361"/>
      </w:pPr>
      <w:rPr>
        <w:rFonts w:hint="default"/>
        <w:lang w:val="en-gb" w:eastAsia="en-gb" w:bidi="en-gb"/>
      </w:rPr>
    </w:lvl>
    <w:lvl w:ilvl="7">
      <w:start w:val="0"/>
      <w:numFmt w:val="bullet"/>
      <w:lvlText w:val="•"/>
      <w:lvlJc w:val="left"/>
      <w:pPr>
        <w:ind w:left="7956" w:hanging="361"/>
      </w:pPr>
      <w:rPr>
        <w:rFonts w:hint="default"/>
        <w:lang w:val="en-gb" w:eastAsia="en-gb" w:bidi="en-gb"/>
      </w:rPr>
    </w:lvl>
    <w:lvl w:ilvl="8">
      <w:start w:val="0"/>
      <w:numFmt w:val="bullet"/>
      <w:lvlText w:val="•"/>
      <w:lvlJc w:val="left"/>
      <w:pPr>
        <w:ind w:left="8976" w:hanging="361"/>
      </w:pPr>
      <w:rPr>
        <w:rFonts w:hint="default"/>
        <w:lang w:val="en-gb" w:eastAsia="en-gb" w:bidi="en-gb"/>
      </w:rPr>
    </w:lvl>
  </w:abstractNum>
  <w:abstractNum w:abstractNumId="1">
    <w:multiLevelType w:val="hybridMultilevel"/>
    <w:lvl w:ilvl="0">
      <w:start w:val="0"/>
      <w:numFmt w:val="bullet"/>
      <w:lvlText w:val=""/>
      <w:lvlJc w:val="left"/>
      <w:pPr>
        <w:ind w:left="828" w:hanging="354"/>
      </w:pPr>
      <w:rPr>
        <w:rFonts w:hint="default" w:ascii="Symbol" w:hAnsi="Symbol" w:eastAsia="Symbol" w:cs="Symbol"/>
        <w:w w:val="100"/>
        <w:sz w:val="22"/>
        <w:szCs w:val="22"/>
        <w:lang w:val="en-gb" w:eastAsia="en-gb" w:bidi="en-gb"/>
      </w:rPr>
    </w:lvl>
    <w:lvl w:ilvl="1">
      <w:start w:val="0"/>
      <w:numFmt w:val="bullet"/>
      <w:lvlText w:val="•"/>
      <w:lvlJc w:val="left"/>
      <w:pPr>
        <w:ind w:left="1839" w:hanging="354"/>
      </w:pPr>
      <w:rPr>
        <w:rFonts w:hint="default"/>
        <w:lang w:val="en-gb" w:eastAsia="en-gb" w:bidi="en-gb"/>
      </w:rPr>
    </w:lvl>
    <w:lvl w:ilvl="2">
      <w:start w:val="0"/>
      <w:numFmt w:val="bullet"/>
      <w:lvlText w:val="•"/>
      <w:lvlJc w:val="left"/>
      <w:pPr>
        <w:ind w:left="2859" w:hanging="354"/>
      </w:pPr>
      <w:rPr>
        <w:rFonts w:hint="default"/>
        <w:lang w:val="en-gb" w:eastAsia="en-gb" w:bidi="en-gb"/>
      </w:rPr>
    </w:lvl>
    <w:lvl w:ilvl="3">
      <w:start w:val="0"/>
      <w:numFmt w:val="bullet"/>
      <w:lvlText w:val="•"/>
      <w:lvlJc w:val="left"/>
      <w:pPr>
        <w:ind w:left="3878" w:hanging="354"/>
      </w:pPr>
      <w:rPr>
        <w:rFonts w:hint="default"/>
        <w:lang w:val="en-gb" w:eastAsia="en-gb" w:bidi="en-gb"/>
      </w:rPr>
    </w:lvl>
    <w:lvl w:ilvl="4">
      <w:start w:val="0"/>
      <w:numFmt w:val="bullet"/>
      <w:lvlText w:val="•"/>
      <w:lvlJc w:val="left"/>
      <w:pPr>
        <w:ind w:left="4898" w:hanging="354"/>
      </w:pPr>
      <w:rPr>
        <w:rFonts w:hint="default"/>
        <w:lang w:val="en-gb" w:eastAsia="en-gb" w:bidi="en-gb"/>
      </w:rPr>
    </w:lvl>
    <w:lvl w:ilvl="5">
      <w:start w:val="0"/>
      <w:numFmt w:val="bullet"/>
      <w:lvlText w:val="•"/>
      <w:lvlJc w:val="left"/>
      <w:pPr>
        <w:ind w:left="5917" w:hanging="354"/>
      </w:pPr>
      <w:rPr>
        <w:rFonts w:hint="default"/>
        <w:lang w:val="en-gb" w:eastAsia="en-gb" w:bidi="en-gb"/>
      </w:rPr>
    </w:lvl>
    <w:lvl w:ilvl="6">
      <w:start w:val="0"/>
      <w:numFmt w:val="bullet"/>
      <w:lvlText w:val="•"/>
      <w:lvlJc w:val="left"/>
      <w:pPr>
        <w:ind w:left="6937" w:hanging="354"/>
      </w:pPr>
      <w:rPr>
        <w:rFonts w:hint="default"/>
        <w:lang w:val="en-gb" w:eastAsia="en-gb" w:bidi="en-gb"/>
      </w:rPr>
    </w:lvl>
    <w:lvl w:ilvl="7">
      <w:start w:val="0"/>
      <w:numFmt w:val="bullet"/>
      <w:lvlText w:val="•"/>
      <w:lvlJc w:val="left"/>
      <w:pPr>
        <w:ind w:left="7956" w:hanging="354"/>
      </w:pPr>
      <w:rPr>
        <w:rFonts w:hint="default"/>
        <w:lang w:val="en-gb" w:eastAsia="en-gb" w:bidi="en-gb"/>
      </w:rPr>
    </w:lvl>
    <w:lvl w:ilvl="8">
      <w:start w:val="0"/>
      <w:numFmt w:val="bullet"/>
      <w:lvlText w:val="•"/>
      <w:lvlJc w:val="left"/>
      <w:pPr>
        <w:ind w:left="8976" w:hanging="354"/>
      </w:pPr>
      <w:rPr>
        <w:rFonts w:hint="default"/>
        <w:lang w:val="en-gb" w:eastAsia="en-gb" w:bidi="en-gb"/>
      </w:rPr>
    </w:lvl>
  </w:abstractNum>
  <w:abstractNum w:abstractNumId="0">
    <w:multiLevelType w:val="hybridMultilevel"/>
    <w:lvl w:ilvl="0">
      <w:start w:val="0"/>
      <w:numFmt w:val="bullet"/>
      <w:lvlText w:val="-"/>
      <w:lvlJc w:val="left"/>
      <w:pPr>
        <w:ind w:left="260" w:hanging="118"/>
      </w:pPr>
      <w:rPr>
        <w:rFonts w:hint="default" w:ascii="Calibri" w:hAnsi="Calibri" w:eastAsia="Calibri" w:cs="Calibri"/>
        <w:w w:val="100"/>
        <w:sz w:val="22"/>
        <w:szCs w:val="22"/>
        <w:lang w:val="en-gb" w:eastAsia="en-gb" w:bidi="en-gb"/>
      </w:rPr>
    </w:lvl>
    <w:lvl w:ilvl="1">
      <w:start w:val="0"/>
      <w:numFmt w:val="bullet"/>
      <w:lvlText w:val="•"/>
      <w:lvlJc w:val="left"/>
      <w:pPr>
        <w:ind w:left="1228" w:hanging="118"/>
      </w:pPr>
      <w:rPr>
        <w:rFonts w:hint="default"/>
        <w:lang w:val="en-gb" w:eastAsia="en-gb" w:bidi="en-gb"/>
      </w:rPr>
    </w:lvl>
    <w:lvl w:ilvl="2">
      <w:start w:val="0"/>
      <w:numFmt w:val="bullet"/>
      <w:lvlText w:val="•"/>
      <w:lvlJc w:val="left"/>
      <w:pPr>
        <w:ind w:left="2197" w:hanging="118"/>
      </w:pPr>
      <w:rPr>
        <w:rFonts w:hint="default"/>
        <w:lang w:val="en-gb" w:eastAsia="en-gb" w:bidi="en-gb"/>
      </w:rPr>
    </w:lvl>
    <w:lvl w:ilvl="3">
      <w:start w:val="0"/>
      <w:numFmt w:val="bullet"/>
      <w:lvlText w:val="•"/>
      <w:lvlJc w:val="left"/>
      <w:pPr>
        <w:ind w:left="3165" w:hanging="118"/>
      </w:pPr>
      <w:rPr>
        <w:rFonts w:hint="default"/>
        <w:lang w:val="en-gb" w:eastAsia="en-gb" w:bidi="en-gb"/>
      </w:rPr>
    </w:lvl>
    <w:lvl w:ilvl="4">
      <w:start w:val="0"/>
      <w:numFmt w:val="bullet"/>
      <w:lvlText w:val="•"/>
      <w:lvlJc w:val="left"/>
      <w:pPr>
        <w:ind w:left="4134" w:hanging="118"/>
      </w:pPr>
      <w:rPr>
        <w:rFonts w:hint="default"/>
        <w:lang w:val="en-gb" w:eastAsia="en-gb" w:bidi="en-gb"/>
      </w:rPr>
    </w:lvl>
    <w:lvl w:ilvl="5">
      <w:start w:val="0"/>
      <w:numFmt w:val="bullet"/>
      <w:lvlText w:val="•"/>
      <w:lvlJc w:val="left"/>
      <w:pPr>
        <w:ind w:left="5102" w:hanging="118"/>
      </w:pPr>
      <w:rPr>
        <w:rFonts w:hint="default"/>
        <w:lang w:val="en-gb" w:eastAsia="en-gb" w:bidi="en-gb"/>
      </w:rPr>
    </w:lvl>
    <w:lvl w:ilvl="6">
      <w:start w:val="0"/>
      <w:numFmt w:val="bullet"/>
      <w:lvlText w:val="•"/>
      <w:lvlJc w:val="left"/>
      <w:pPr>
        <w:ind w:left="6071" w:hanging="118"/>
      </w:pPr>
      <w:rPr>
        <w:rFonts w:hint="default"/>
        <w:lang w:val="en-gb" w:eastAsia="en-gb" w:bidi="en-gb"/>
      </w:rPr>
    </w:lvl>
    <w:lvl w:ilvl="7">
      <w:start w:val="0"/>
      <w:numFmt w:val="bullet"/>
      <w:lvlText w:val="•"/>
      <w:lvlJc w:val="left"/>
      <w:pPr>
        <w:ind w:left="7039" w:hanging="118"/>
      </w:pPr>
      <w:rPr>
        <w:rFonts w:hint="default"/>
        <w:lang w:val="en-gb" w:eastAsia="en-gb" w:bidi="en-gb"/>
      </w:rPr>
    </w:lvl>
    <w:lvl w:ilvl="8">
      <w:start w:val="0"/>
      <w:numFmt w:val="bullet"/>
      <w:lvlText w:val="•"/>
      <w:lvlJc w:val="left"/>
      <w:pPr>
        <w:ind w:left="8008" w:hanging="118"/>
      </w:pPr>
      <w:rPr>
        <w:rFonts w:hint="default"/>
        <w:lang w:val="en-gb" w:eastAsia="en-gb" w:bidi="en-gb"/>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2"/>
      <w:szCs w:val="22"/>
      <w:lang w:val="en-gb" w:eastAsia="en-gb" w:bidi="en-gb"/>
    </w:rPr>
  </w:style>
  <w:style w:styleId="Heading1" w:type="paragraph">
    <w:name w:val="Heading 1"/>
    <w:basedOn w:val="Normal"/>
    <w:uiPriority w:val="1"/>
    <w:qFormat/>
    <w:pPr>
      <w:spacing w:before="39"/>
      <w:ind w:left="1113"/>
      <w:jc w:val="center"/>
      <w:outlineLvl w:val="1"/>
    </w:pPr>
    <w:rPr>
      <w:rFonts w:ascii="Calibri" w:hAnsi="Calibri" w:eastAsia="Calibri" w:cs="Calibri"/>
      <w:b/>
      <w:bCs/>
      <w:sz w:val="28"/>
      <w:szCs w:val="28"/>
      <w:lang w:val="en-gb" w:eastAsia="en-gb" w:bidi="en-gb"/>
    </w:rPr>
  </w:style>
  <w:style w:styleId="Heading2" w:type="paragraph">
    <w:name w:val="Heading 2"/>
    <w:basedOn w:val="Normal"/>
    <w:uiPriority w:val="1"/>
    <w:qFormat/>
    <w:pPr>
      <w:ind w:left="420"/>
      <w:outlineLvl w:val="2"/>
    </w:pPr>
    <w:rPr>
      <w:rFonts w:ascii="Calibri" w:hAnsi="Calibri" w:eastAsia="Calibri" w:cs="Calibri"/>
      <w:b/>
      <w:bCs/>
      <w:sz w:val="24"/>
      <w:szCs w:val="24"/>
      <w:lang w:val="en-gb" w:eastAsia="en-gb" w:bidi="en-gb"/>
    </w:rPr>
  </w:style>
  <w:style w:styleId="Heading3" w:type="paragraph">
    <w:name w:val="Heading 3"/>
    <w:basedOn w:val="Normal"/>
    <w:uiPriority w:val="1"/>
    <w:qFormat/>
    <w:pPr>
      <w:ind w:left="420"/>
      <w:outlineLvl w:val="3"/>
    </w:pPr>
    <w:rPr>
      <w:rFonts w:ascii="Calibri" w:hAnsi="Calibri" w:eastAsia="Calibri" w:cs="Calibri"/>
      <w:b/>
      <w:bCs/>
      <w:sz w:val="22"/>
      <w:szCs w:val="22"/>
      <w:lang w:val="en-gb" w:eastAsia="en-gb" w:bidi="en-gb"/>
    </w:rPr>
  </w:style>
  <w:style w:styleId="ListParagraph" w:type="paragraph">
    <w:name w:val="List Paragraph"/>
    <w:basedOn w:val="Normal"/>
    <w:uiPriority w:val="1"/>
    <w:qFormat/>
    <w:pPr>
      <w:ind w:left="780" w:hanging="360"/>
    </w:pPr>
    <w:rPr>
      <w:rFonts w:ascii="Calibri" w:hAnsi="Calibri" w:eastAsia="Calibri" w:cs="Calibri"/>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medicines.org.uk/" TargetMode="External"/><Relationship Id="rId8" Type="http://schemas.openxmlformats.org/officeDocument/2006/relationships/hyperlink" Target="https://www.gov.uk/government/uploads/system/uploads/attachment_data/file/566853/Green_Book_Chapter7.pdf" TargetMode="External"/><Relationship Id="rId9" Type="http://schemas.openxmlformats.org/officeDocument/2006/relationships/hyperlink" Target="http://www.rheumatology.org.uk/includes/documents/cm_docs/2017/f/full_guideline_dmards.pdf"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Janki (East Sussex Healthcare)</dc:creator>
  <dcterms:created xsi:type="dcterms:W3CDTF">2018-02-19T11:24:32Z</dcterms:created>
  <dcterms:modified xsi:type="dcterms:W3CDTF">2018-02-19T11:24:32Z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Microsoft® Word 2010</vt:lpwstr>
  </property>
  <property fmtid="{D5CDD505-2E9C-101B-9397-08002B2CF9AE}" pid="4" name="LastSaved">
    <vt:filetime>2018-02-19T00:00:00Z</vt:filetime>
  </property>
</Properties>
</file>